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39D2" w14:textId="3FE0738B" w:rsidR="008C1770" w:rsidRPr="00782B4E" w:rsidRDefault="00782B4E" w:rsidP="00782B4E">
      <w:pPr>
        <w:spacing w:after="0" w:line="240" w:lineRule="auto"/>
        <w:rPr>
          <w:b/>
          <w:sz w:val="24"/>
          <w:szCs w:val="24"/>
        </w:rPr>
      </w:pPr>
      <w:r w:rsidRPr="00782B4E">
        <w:rPr>
          <w:b/>
          <w:sz w:val="24"/>
          <w:szCs w:val="24"/>
        </w:rPr>
        <w:t>8</w:t>
      </w:r>
      <w:r w:rsidR="00D9793A">
        <w:rPr>
          <w:b/>
          <w:sz w:val="24"/>
          <w:szCs w:val="24"/>
        </w:rPr>
        <w:t>8</w:t>
      </w:r>
      <w:r w:rsidRPr="00782B4E">
        <w:rPr>
          <w:b/>
          <w:sz w:val="24"/>
          <w:szCs w:val="24"/>
          <w:vertAlign w:val="superscript"/>
        </w:rPr>
        <w:t>th</w:t>
      </w:r>
      <w:r w:rsidRPr="00782B4E">
        <w:rPr>
          <w:b/>
          <w:sz w:val="24"/>
          <w:szCs w:val="24"/>
        </w:rPr>
        <w:t xml:space="preserve"> Legislative Session</w:t>
      </w:r>
    </w:p>
    <w:p w14:paraId="3D22DDFE" w14:textId="76F1E0BE" w:rsidR="00782B4E" w:rsidRPr="00782B4E" w:rsidRDefault="00782B4E" w:rsidP="00782B4E">
      <w:pPr>
        <w:spacing w:after="0" w:line="240" w:lineRule="auto"/>
        <w:rPr>
          <w:b/>
          <w:sz w:val="24"/>
          <w:szCs w:val="24"/>
        </w:rPr>
      </w:pPr>
      <w:r w:rsidRPr="00782B4E">
        <w:rPr>
          <w:b/>
          <w:sz w:val="24"/>
          <w:szCs w:val="24"/>
        </w:rPr>
        <w:t>Proposed Bills</w:t>
      </w:r>
      <w:r w:rsidR="001108EA">
        <w:rPr>
          <w:b/>
          <w:sz w:val="24"/>
          <w:szCs w:val="24"/>
        </w:rPr>
        <w:t xml:space="preserve">; Analysis Complete </w:t>
      </w:r>
      <w:r w:rsidRPr="00782B4E">
        <w:rPr>
          <w:b/>
          <w:sz w:val="24"/>
          <w:szCs w:val="24"/>
        </w:rPr>
        <w:t xml:space="preserve">– Possible Data Collection </w:t>
      </w:r>
      <w:r w:rsidR="001108EA">
        <w:rPr>
          <w:b/>
          <w:sz w:val="24"/>
          <w:szCs w:val="24"/>
        </w:rPr>
        <w:t>Impact</w:t>
      </w:r>
      <w:r w:rsidR="00F1043C">
        <w:rPr>
          <w:b/>
          <w:sz w:val="24"/>
          <w:szCs w:val="24"/>
        </w:rPr>
        <w:t>/TREx Impact</w:t>
      </w:r>
    </w:p>
    <w:p w14:paraId="7DAB35A8" w14:textId="0FD3469B" w:rsidR="00782B4E" w:rsidRDefault="00782B4E" w:rsidP="00782B4E">
      <w:pPr>
        <w:spacing w:after="0" w:line="240" w:lineRule="auto"/>
        <w:rPr>
          <w:b/>
          <w:sz w:val="24"/>
          <w:szCs w:val="24"/>
        </w:rPr>
      </w:pPr>
      <w:r w:rsidRPr="00782B4E">
        <w:rPr>
          <w:b/>
          <w:sz w:val="24"/>
          <w:szCs w:val="24"/>
        </w:rPr>
        <w:t xml:space="preserve">March </w:t>
      </w:r>
      <w:r w:rsidR="00835905">
        <w:rPr>
          <w:b/>
          <w:sz w:val="24"/>
          <w:szCs w:val="24"/>
        </w:rPr>
        <w:t>2</w:t>
      </w:r>
      <w:r w:rsidR="00270A4B">
        <w:rPr>
          <w:b/>
          <w:sz w:val="24"/>
          <w:szCs w:val="24"/>
        </w:rPr>
        <w:t>1</w:t>
      </w:r>
      <w:r w:rsidRPr="00782B4E">
        <w:rPr>
          <w:b/>
          <w:sz w:val="24"/>
          <w:szCs w:val="24"/>
        </w:rPr>
        <w:t>, 20</w:t>
      </w:r>
      <w:r w:rsidR="00835905">
        <w:rPr>
          <w:b/>
          <w:sz w:val="24"/>
          <w:szCs w:val="24"/>
        </w:rPr>
        <w:t>2</w:t>
      </w:r>
      <w:r w:rsidR="00270A4B">
        <w:rPr>
          <w:b/>
          <w:sz w:val="24"/>
          <w:szCs w:val="24"/>
        </w:rPr>
        <w:t>3</w:t>
      </w:r>
    </w:p>
    <w:p w14:paraId="2C366CD0" w14:textId="77777777" w:rsidR="00782B4E" w:rsidRDefault="00782B4E" w:rsidP="00782B4E"/>
    <w:p w14:paraId="3EF927ED" w14:textId="0B57FDE3" w:rsidR="00782B4E" w:rsidRPr="00782B4E" w:rsidRDefault="00782B4E" w:rsidP="00782B4E">
      <w:pPr>
        <w:rPr>
          <w:b/>
          <w:i/>
        </w:rPr>
      </w:pPr>
      <w:r w:rsidRPr="00782B4E">
        <w:rPr>
          <w:b/>
          <w:i/>
        </w:rPr>
        <w:t>Number of bills assigned to TEA</w:t>
      </w:r>
      <w:r w:rsidR="00BE466D">
        <w:rPr>
          <w:b/>
          <w:i/>
        </w:rPr>
        <w:t xml:space="preserve"> IT</w:t>
      </w:r>
      <w:r w:rsidRPr="00782B4E">
        <w:rPr>
          <w:b/>
          <w:i/>
        </w:rPr>
        <w:t xml:space="preserve"> for review: </w:t>
      </w:r>
      <w:r w:rsidR="001C21F3">
        <w:rPr>
          <w:b/>
          <w:i/>
        </w:rPr>
        <w:t xml:space="preserve"> </w:t>
      </w:r>
      <w:r w:rsidR="00CA006B" w:rsidRPr="00CA006B">
        <w:rPr>
          <w:b/>
          <w:i/>
          <w:color w:val="00B050"/>
        </w:rPr>
        <w:t>1216</w:t>
      </w:r>
      <w:r w:rsidR="00440F73" w:rsidRPr="00CA006B">
        <w:rPr>
          <w:b/>
          <w:i/>
          <w:color w:val="00B050"/>
        </w:rPr>
        <w:t xml:space="preserve"> (</w:t>
      </w:r>
      <w:r w:rsidR="00CA006B" w:rsidRPr="00CA006B">
        <w:rPr>
          <w:b/>
          <w:i/>
          <w:color w:val="00B050"/>
        </w:rPr>
        <w:t>546</w:t>
      </w:r>
      <w:r w:rsidR="00440F73" w:rsidRPr="00CA006B">
        <w:rPr>
          <w:b/>
          <w:i/>
          <w:color w:val="00B050"/>
        </w:rPr>
        <w:t xml:space="preserve"> </w:t>
      </w:r>
      <w:r w:rsidR="00BE385F" w:rsidRPr="00CA006B">
        <w:rPr>
          <w:b/>
          <w:i/>
          <w:color w:val="00B050"/>
        </w:rPr>
        <w:t xml:space="preserve">of these </w:t>
      </w:r>
      <w:r w:rsidR="00440F73" w:rsidRPr="00CA006B">
        <w:rPr>
          <w:b/>
          <w:i/>
          <w:color w:val="00B050"/>
        </w:rPr>
        <w:t>pending IT review)</w:t>
      </w:r>
    </w:p>
    <w:p w14:paraId="777D8A0F" w14:textId="19BF097D" w:rsidR="00782B4E" w:rsidRPr="001C21F3" w:rsidRDefault="00782B4E" w:rsidP="00782B4E">
      <w:pPr>
        <w:rPr>
          <w:b/>
          <w:i/>
          <w:color w:val="FF0000"/>
        </w:rPr>
      </w:pPr>
      <w:r w:rsidRPr="00782B4E">
        <w:rPr>
          <w:b/>
          <w:i/>
        </w:rPr>
        <w:t xml:space="preserve">Number of bills </w:t>
      </w:r>
      <w:r w:rsidR="001C21F3">
        <w:rPr>
          <w:b/>
          <w:i/>
        </w:rPr>
        <w:t>that potentially have IT impact</w:t>
      </w:r>
      <w:r w:rsidRPr="00782B4E">
        <w:rPr>
          <w:b/>
          <w:i/>
        </w:rPr>
        <w:t>:</w:t>
      </w:r>
      <w:r w:rsidR="001C21F3">
        <w:rPr>
          <w:b/>
          <w:i/>
        </w:rPr>
        <w:t xml:space="preserve"> </w:t>
      </w:r>
      <w:r w:rsidR="00CA006B" w:rsidRPr="00CA006B">
        <w:rPr>
          <w:b/>
          <w:i/>
          <w:color w:val="00B050"/>
        </w:rPr>
        <w:t>177</w:t>
      </w:r>
    </w:p>
    <w:p w14:paraId="26264EEC" w14:textId="0ABE30B5" w:rsidR="00782B4E" w:rsidRPr="001C21F3" w:rsidRDefault="00782B4E" w:rsidP="00782B4E">
      <w:pPr>
        <w:rPr>
          <w:b/>
          <w:i/>
          <w:color w:val="FF0000"/>
        </w:rPr>
      </w:pPr>
      <w:r w:rsidRPr="00782B4E">
        <w:rPr>
          <w:b/>
          <w:i/>
        </w:rPr>
        <w:t xml:space="preserve">Number of bills </w:t>
      </w:r>
      <w:r w:rsidR="001C21F3">
        <w:rPr>
          <w:b/>
          <w:i/>
        </w:rPr>
        <w:t>that potentially have</w:t>
      </w:r>
      <w:r w:rsidRPr="00782B4E">
        <w:rPr>
          <w:b/>
          <w:i/>
        </w:rPr>
        <w:t xml:space="preserve"> Data Collection</w:t>
      </w:r>
      <w:r w:rsidR="00C651C7">
        <w:rPr>
          <w:b/>
          <w:i/>
        </w:rPr>
        <w:t>/TREx Impact</w:t>
      </w:r>
      <w:r w:rsidRPr="00782B4E">
        <w:rPr>
          <w:b/>
          <w:i/>
        </w:rPr>
        <w:t>:</w:t>
      </w:r>
      <w:r w:rsidR="001C21F3">
        <w:rPr>
          <w:b/>
          <w:i/>
        </w:rPr>
        <w:t xml:space="preserve"> </w:t>
      </w:r>
      <w:r w:rsidR="001C21F3" w:rsidRPr="00CA006B">
        <w:rPr>
          <w:b/>
          <w:i/>
          <w:color w:val="00B050"/>
        </w:rPr>
        <w:t>1</w:t>
      </w:r>
      <w:r w:rsidR="00CA006B" w:rsidRPr="00CA006B">
        <w:rPr>
          <w:b/>
          <w:i/>
          <w:color w:val="00B050"/>
        </w:rPr>
        <w:t>1</w:t>
      </w:r>
      <w:r w:rsidR="00647A1F" w:rsidRPr="00CA006B">
        <w:rPr>
          <w:b/>
          <w:i/>
          <w:color w:val="00B050"/>
        </w:rPr>
        <w:t>6</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300"/>
        <w:gridCol w:w="2155"/>
      </w:tblGrid>
      <w:tr w:rsidR="007B67BC" w:rsidRPr="004C0F30" w14:paraId="179CB310" w14:textId="3442F0F7" w:rsidTr="00CF172F">
        <w:trPr>
          <w:trHeight w:val="552"/>
          <w:tblHeader/>
        </w:trPr>
        <w:tc>
          <w:tcPr>
            <w:tcW w:w="2335" w:type="dxa"/>
            <w:shd w:val="clear" w:color="000000" w:fill="C5E0B3"/>
            <w:hideMark/>
          </w:tcPr>
          <w:p w14:paraId="26AE75C0" w14:textId="77777777" w:rsidR="007B67BC" w:rsidRPr="004C0F30" w:rsidRDefault="007B67BC" w:rsidP="004C0F30">
            <w:pPr>
              <w:spacing w:after="0" w:line="240" w:lineRule="auto"/>
              <w:rPr>
                <w:rFonts w:ascii="Calibri" w:eastAsia="Times New Roman" w:hAnsi="Calibri" w:cs="Calibri"/>
                <w:b/>
                <w:bCs/>
                <w:sz w:val="20"/>
                <w:szCs w:val="20"/>
              </w:rPr>
            </w:pPr>
            <w:r w:rsidRPr="004C0F30">
              <w:rPr>
                <w:rFonts w:ascii="Calibri" w:eastAsia="Times New Roman" w:hAnsi="Calibri" w:cs="Calibri"/>
                <w:b/>
                <w:bCs/>
                <w:sz w:val="20"/>
                <w:szCs w:val="20"/>
              </w:rPr>
              <w:t>Bill Number</w:t>
            </w:r>
          </w:p>
        </w:tc>
        <w:tc>
          <w:tcPr>
            <w:tcW w:w="6300" w:type="dxa"/>
            <w:shd w:val="clear" w:color="000000" w:fill="C5E0B3"/>
            <w:hideMark/>
          </w:tcPr>
          <w:p w14:paraId="0DE7FB34" w14:textId="77777777" w:rsidR="007B67BC" w:rsidRPr="004C0F30" w:rsidRDefault="007B67BC" w:rsidP="004C0F30">
            <w:pPr>
              <w:spacing w:after="0" w:line="240" w:lineRule="auto"/>
              <w:rPr>
                <w:rFonts w:ascii="Calibri" w:eastAsia="Times New Roman" w:hAnsi="Calibri" w:cs="Calibri"/>
                <w:b/>
                <w:bCs/>
                <w:sz w:val="20"/>
                <w:szCs w:val="20"/>
              </w:rPr>
            </w:pPr>
            <w:r w:rsidRPr="004C0F30">
              <w:rPr>
                <w:rFonts w:ascii="Calibri" w:eastAsia="Times New Roman" w:hAnsi="Calibri" w:cs="Calibri"/>
                <w:b/>
                <w:bCs/>
                <w:sz w:val="20"/>
                <w:szCs w:val="20"/>
              </w:rPr>
              <w:t>Description</w:t>
            </w:r>
          </w:p>
        </w:tc>
        <w:tc>
          <w:tcPr>
            <w:tcW w:w="2155" w:type="dxa"/>
            <w:shd w:val="clear" w:color="000000" w:fill="C5E0B3"/>
          </w:tcPr>
          <w:p w14:paraId="0722FD8A" w14:textId="15D3E6C1" w:rsidR="007B67BC" w:rsidRPr="004C0F30" w:rsidRDefault="008D0669" w:rsidP="00270A4B">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Data Collection</w:t>
            </w:r>
            <w:r w:rsidR="00F1043C">
              <w:rPr>
                <w:rFonts w:ascii="Calibri" w:eastAsia="Times New Roman" w:hAnsi="Calibri" w:cs="Calibri"/>
                <w:b/>
                <w:bCs/>
                <w:sz w:val="20"/>
                <w:szCs w:val="20"/>
              </w:rPr>
              <w:t>/TREx</w:t>
            </w:r>
          </w:p>
        </w:tc>
      </w:tr>
      <w:tr w:rsidR="00A45036" w:rsidRPr="004C0F30" w14:paraId="6437CB44" w14:textId="22018410" w:rsidTr="00CF172F">
        <w:trPr>
          <w:trHeight w:val="576"/>
        </w:trPr>
        <w:tc>
          <w:tcPr>
            <w:tcW w:w="2335" w:type="dxa"/>
            <w:shd w:val="clear" w:color="auto" w:fill="auto"/>
          </w:tcPr>
          <w:p w14:paraId="718E36FD" w14:textId="168104D8" w:rsidR="00A45036" w:rsidRPr="004C0F30" w:rsidRDefault="00A45036" w:rsidP="00A45036">
            <w:pPr>
              <w:spacing w:after="0" w:line="240" w:lineRule="auto"/>
              <w:rPr>
                <w:rFonts w:eastAsia="Times New Roman" w:cstheme="minorHAnsi"/>
              </w:rPr>
            </w:pPr>
            <w:r>
              <w:rPr>
                <w:rFonts w:eastAsia="Times New Roman" w:cstheme="minorHAnsi"/>
              </w:rPr>
              <w:t xml:space="preserve">HB </w:t>
            </w:r>
            <w:r w:rsidR="002E4DF9">
              <w:rPr>
                <w:rFonts w:eastAsia="Times New Roman" w:cstheme="minorHAnsi"/>
              </w:rPr>
              <w:t>11</w:t>
            </w:r>
          </w:p>
        </w:tc>
        <w:tc>
          <w:tcPr>
            <w:tcW w:w="6300" w:type="dxa"/>
            <w:shd w:val="clear" w:color="auto" w:fill="auto"/>
          </w:tcPr>
          <w:p w14:paraId="7461BA5F" w14:textId="1444D058" w:rsidR="00A45036" w:rsidRPr="002E4DF9" w:rsidRDefault="002E4DF9" w:rsidP="002E4DF9">
            <w:pPr>
              <w:pStyle w:val="NoSpacing"/>
            </w:pPr>
            <w:r>
              <w:t xml:space="preserve">Relating to the rights, certification, and compensation of </w:t>
            </w:r>
            <w:proofErr w:type="gramStart"/>
            <w:r>
              <w:t>public school</w:t>
            </w:r>
            <w:proofErr w:type="gramEnd"/>
            <w:r>
              <w:t xml:space="preserve"> educators, including financial and other assistance provided to public schools by the Texas Education Agency related to public school educators and to certain allotments under the Foundation School Program.</w:t>
            </w:r>
          </w:p>
        </w:tc>
        <w:tc>
          <w:tcPr>
            <w:tcW w:w="2155" w:type="dxa"/>
          </w:tcPr>
          <w:p w14:paraId="2F3417EE" w14:textId="6D80ED40" w:rsidR="00A45036" w:rsidRPr="007B67BC" w:rsidRDefault="00A45036" w:rsidP="00A45036">
            <w:pPr>
              <w:spacing w:after="0" w:line="240" w:lineRule="auto"/>
              <w:rPr>
                <w:rFonts w:eastAsia="Times New Roman" w:cstheme="minorHAnsi"/>
              </w:rPr>
            </w:pPr>
            <w:r>
              <w:rPr>
                <w:rFonts w:eastAsia="Times New Roman" w:cstheme="minorHAnsi"/>
              </w:rPr>
              <w:t>Data Collection</w:t>
            </w:r>
            <w:r w:rsidR="005F11F7">
              <w:rPr>
                <w:rFonts w:eastAsia="Times New Roman" w:cstheme="minorHAnsi"/>
              </w:rPr>
              <w:t>/TREx</w:t>
            </w:r>
          </w:p>
        </w:tc>
      </w:tr>
      <w:tr w:rsidR="009D557A" w:rsidRPr="004C0F30" w14:paraId="5062E760" w14:textId="77777777" w:rsidTr="00CF172F">
        <w:trPr>
          <w:trHeight w:val="576"/>
        </w:trPr>
        <w:tc>
          <w:tcPr>
            <w:tcW w:w="2335" w:type="dxa"/>
            <w:shd w:val="clear" w:color="auto" w:fill="auto"/>
          </w:tcPr>
          <w:p w14:paraId="1503CBA7" w14:textId="77777777" w:rsidR="009D557A" w:rsidRDefault="00C0561F" w:rsidP="009D557A">
            <w:pPr>
              <w:spacing w:after="0" w:line="240" w:lineRule="auto"/>
              <w:rPr>
                <w:rFonts w:eastAsia="Times New Roman" w:cstheme="minorHAnsi"/>
              </w:rPr>
            </w:pPr>
            <w:r>
              <w:rPr>
                <w:rFonts w:eastAsia="Times New Roman" w:cstheme="minorHAnsi"/>
              </w:rPr>
              <w:t>HB 272</w:t>
            </w:r>
          </w:p>
          <w:p w14:paraId="257F1FAC" w14:textId="6F72751D" w:rsidR="00C0561F" w:rsidRPr="00A63E2A" w:rsidRDefault="00C0561F" w:rsidP="009D557A">
            <w:pPr>
              <w:spacing w:after="0" w:line="240" w:lineRule="auto"/>
              <w:rPr>
                <w:rFonts w:eastAsia="Times New Roman" w:cstheme="minorHAnsi"/>
              </w:rPr>
            </w:pPr>
          </w:p>
        </w:tc>
        <w:tc>
          <w:tcPr>
            <w:tcW w:w="6300" w:type="dxa"/>
            <w:shd w:val="clear" w:color="auto" w:fill="auto"/>
          </w:tcPr>
          <w:p w14:paraId="18EED098" w14:textId="68F0617B" w:rsidR="009D557A" w:rsidRPr="00C57A18" w:rsidRDefault="00C57A18" w:rsidP="00C57A18">
            <w:pPr>
              <w:pStyle w:val="NoSpacing"/>
            </w:pPr>
            <w:r>
              <w:t>Relating to the terminology used to refer to an individualized education program team.</w:t>
            </w:r>
          </w:p>
        </w:tc>
        <w:tc>
          <w:tcPr>
            <w:tcW w:w="2155" w:type="dxa"/>
          </w:tcPr>
          <w:p w14:paraId="1CC51928" w14:textId="7449A8E6" w:rsidR="009D557A" w:rsidRDefault="00C0561F" w:rsidP="009D557A">
            <w:pPr>
              <w:spacing w:after="0" w:line="240" w:lineRule="auto"/>
              <w:rPr>
                <w:rFonts w:eastAsia="Times New Roman" w:cstheme="minorHAnsi"/>
              </w:rPr>
            </w:pPr>
            <w:r>
              <w:rPr>
                <w:rFonts w:eastAsia="Times New Roman" w:cstheme="minorHAnsi"/>
              </w:rPr>
              <w:t>Data Collection</w:t>
            </w:r>
          </w:p>
        </w:tc>
      </w:tr>
      <w:tr w:rsidR="009D557A" w:rsidRPr="004C0F30" w14:paraId="30283DBD" w14:textId="2CE5CAEA" w:rsidTr="00CF172F">
        <w:trPr>
          <w:trHeight w:val="576"/>
        </w:trPr>
        <w:tc>
          <w:tcPr>
            <w:tcW w:w="2335" w:type="dxa"/>
            <w:shd w:val="clear" w:color="auto" w:fill="auto"/>
          </w:tcPr>
          <w:p w14:paraId="4B7DDA2D" w14:textId="69F10E76" w:rsidR="009D557A" w:rsidRPr="00A63E2A" w:rsidRDefault="00C0561F" w:rsidP="009D557A">
            <w:pPr>
              <w:spacing w:after="0" w:line="240" w:lineRule="auto"/>
              <w:rPr>
                <w:rFonts w:eastAsia="Times New Roman" w:cstheme="minorHAnsi"/>
              </w:rPr>
            </w:pPr>
            <w:r>
              <w:rPr>
                <w:rFonts w:eastAsia="Times New Roman" w:cstheme="minorHAnsi"/>
              </w:rPr>
              <w:t>HB 516</w:t>
            </w:r>
          </w:p>
        </w:tc>
        <w:tc>
          <w:tcPr>
            <w:tcW w:w="6300" w:type="dxa"/>
            <w:shd w:val="clear" w:color="auto" w:fill="auto"/>
          </w:tcPr>
          <w:p w14:paraId="3627CE75" w14:textId="6331F910" w:rsidR="009D557A" w:rsidRPr="004B4489" w:rsidRDefault="004B4489" w:rsidP="004B4489">
            <w:pPr>
              <w:pStyle w:val="NoSpacing"/>
            </w:pPr>
            <w:r>
              <w:t>Relating to requiring a school district or open-enrollment charter school to report data regarding certain disciplinary or law enforcement actions taken against students.</w:t>
            </w:r>
          </w:p>
        </w:tc>
        <w:tc>
          <w:tcPr>
            <w:tcW w:w="2155" w:type="dxa"/>
          </w:tcPr>
          <w:p w14:paraId="06A64462" w14:textId="4065D1A0" w:rsidR="009D557A" w:rsidRPr="004C0F30" w:rsidRDefault="00C0561F" w:rsidP="009D557A">
            <w:pPr>
              <w:spacing w:after="0" w:line="240" w:lineRule="auto"/>
              <w:rPr>
                <w:rFonts w:eastAsia="Times New Roman" w:cstheme="minorHAnsi"/>
              </w:rPr>
            </w:pPr>
            <w:r>
              <w:rPr>
                <w:rFonts w:eastAsia="Times New Roman" w:cstheme="minorHAnsi"/>
              </w:rPr>
              <w:t>Data Collection/TREx</w:t>
            </w:r>
          </w:p>
        </w:tc>
      </w:tr>
      <w:tr w:rsidR="009D557A" w:rsidRPr="004C0F30" w14:paraId="170E56E8" w14:textId="1F6CF1AE" w:rsidTr="00CF172F">
        <w:trPr>
          <w:trHeight w:val="539"/>
        </w:trPr>
        <w:tc>
          <w:tcPr>
            <w:tcW w:w="2335" w:type="dxa"/>
            <w:shd w:val="clear" w:color="auto" w:fill="auto"/>
          </w:tcPr>
          <w:p w14:paraId="7C8B8FBC" w14:textId="464D8BE8" w:rsidR="009D557A" w:rsidRPr="00A63E2A" w:rsidRDefault="00CB5A7B" w:rsidP="009D557A">
            <w:pPr>
              <w:spacing w:after="0" w:line="240" w:lineRule="auto"/>
              <w:rPr>
                <w:rFonts w:eastAsia="Times New Roman" w:cstheme="minorHAnsi"/>
              </w:rPr>
            </w:pPr>
            <w:r>
              <w:rPr>
                <w:rFonts w:eastAsia="Times New Roman" w:cstheme="minorHAnsi"/>
              </w:rPr>
              <w:t>HB 655</w:t>
            </w:r>
          </w:p>
        </w:tc>
        <w:tc>
          <w:tcPr>
            <w:tcW w:w="6300" w:type="dxa"/>
            <w:shd w:val="clear" w:color="auto" w:fill="auto"/>
          </w:tcPr>
          <w:p w14:paraId="1116141D" w14:textId="4C3B37D0" w:rsidR="009D557A" w:rsidRPr="00003D0C" w:rsidRDefault="00003D0C" w:rsidP="00003D0C">
            <w:pPr>
              <w:pStyle w:val="NoSpacing"/>
            </w:pPr>
            <w:r>
              <w:t>Relating to the placement by a school district of a student who engages in habitually violent behavior.</w:t>
            </w:r>
          </w:p>
        </w:tc>
        <w:tc>
          <w:tcPr>
            <w:tcW w:w="2155" w:type="dxa"/>
          </w:tcPr>
          <w:p w14:paraId="31806239" w14:textId="0AF0F1C0" w:rsidR="009D557A" w:rsidRPr="004C0F30" w:rsidRDefault="00CB5A7B" w:rsidP="009D557A">
            <w:pPr>
              <w:spacing w:after="0" w:line="240" w:lineRule="auto"/>
              <w:rPr>
                <w:rFonts w:eastAsia="Times New Roman" w:cstheme="minorHAnsi"/>
              </w:rPr>
            </w:pPr>
            <w:r>
              <w:rPr>
                <w:rFonts w:eastAsia="Times New Roman" w:cstheme="minorHAnsi"/>
              </w:rPr>
              <w:t>Data Collection/TREx</w:t>
            </w:r>
          </w:p>
        </w:tc>
      </w:tr>
      <w:tr w:rsidR="009D557A" w:rsidRPr="004C0F30" w14:paraId="60E23C18" w14:textId="48F52560" w:rsidTr="00CF172F">
        <w:trPr>
          <w:trHeight w:val="548"/>
        </w:trPr>
        <w:tc>
          <w:tcPr>
            <w:tcW w:w="2335" w:type="dxa"/>
            <w:shd w:val="clear" w:color="auto" w:fill="auto"/>
          </w:tcPr>
          <w:p w14:paraId="1C28C8DE" w14:textId="7C3400D3" w:rsidR="009D557A" w:rsidRPr="00A63E2A" w:rsidRDefault="00CB5A7B" w:rsidP="009D557A">
            <w:pPr>
              <w:spacing w:after="0" w:line="240" w:lineRule="auto"/>
              <w:rPr>
                <w:rFonts w:eastAsia="Times New Roman" w:cstheme="minorHAnsi"/>
              </w:rPr>
            </w:pPr>
            <w:r>
              <w:rPr>
                <w:rFonts w:eastAsia="Times New Roman" w:cstheme="minorHAnsi"/>
              </w:rPr>
              <w:t>HB 1614</w:t>
            </w:r>
          </w:p>
        </w:tc>
        <w:tc>
          <w:tcPr>
            <w:tcW w:w="6300" w:type="dxa"/>
            <w:shd w:val="clear" w:color="auto" w:fill="auto"/>
          </w:tcPr>
          <w:p w14:paraId="3DDCF650" w14:textId="540256C5" w:rsidR="009D557A" w:rsidRPr="00207133" w:rsidRDefault="00207133" w:rsidP="00207133">
            <w:pPr>
              <w:pStyle w:val="NoSpacing"/>
            </w:pPr>
            <w:r>
              <w:t>Relating to the eligibility for free prekindergarten programs in public schools of certain children who are eligible for the subsidized child-care program administered by the Texas Workforce Commission.</w:t>
            </w:r>
          </w:p>
        </w:tc>
        <w:tc>
          <w:tcPr>
            <w:tcW w:w="2155" w:type="dxa"/>
          </w:tcPr>
          <w:p w14:paraId="7FA7A6F8" w14:textId="29D4A5DD" w:rsidR="009D557A" w:rsidRPr="004C0F30" w:rsidRDefault="00CB5A7B" w:rsidP="009D557A">
            <w:pPr>
              <w:spacing w:after="0" w:line="240" w:lineRule="auto"/>
              <w:rPr>
                <w:rFonts w:eastAsia="Times New Roman" w:cstheme="minorHAnsi"/>
              </w:rPr>
            </w:pPr>
            <w:r>
              <w:rPr>
                <w:rFonts w:eastAsia="Times New Roman" w:cstheme="minorHAnsi"/>
              </w:rPr>
              <w:t>Data Collection/TREx</w:t>
            </w:r>
          </w:p>
        </w:tc>
      </w:tr>
      <w:tr w:rsidR="009D557A" w:rsidRPr="004C0F30" w14:paraId="24B0F1C9" w14:textId="4690853B" w:rsidTr="00CF172F">
        <w:trPr>
          <w:trHeight w:val="197"/>
        </w:trPr>
        <w:tc>
          <w:tcPr>
            <w:tcW w:w="2335" w:type="dxa"/>
            <w:shd w:val="clear" w:color="auto" w:fill="auto"/>
          </w:tcPr>
          <w:p w14:paraId="70FB33B5" w14:textId="68BFE4EE" w:rsidR="009D557A" w:rsidRPr="00A63E2A" w:rsidRDefault="00F36EA1" w:rsidP="009D557A">
            <w:pPr>
              <w:spacing w:after="0" w:line="240" w:lineRule="auto"/>
              <w:rPr>
                <w:rFonts w:eastAsia="Times New Roman" w:cstheme="minorHAnsi"/>
              </w:rPr>
            </w:pPr>
            <w:r>
              <w:rPr>
                <w:rFonts w:eastAsia="Times New Roman" w:cstheme="minorHAnsi"/>
              </w:rPr>
              <w:t>HB 2162</w:t>
            </w:r>
          </w:p>
        </w:tc>
        <w:tc>
          <w:tcPr>
            <w:tcW w:w="6300" w:type="dxa"/>
            <w:shd w:val="clear" w:color="auto" w:fill="auto"/>
          </w:tcPr>
          <w:p w14:paraId="6FFBA9E0" w14:textId="3F52B83C" w:rsidR="009D557A" w:rsidRPr="00616131" w:rsidRDefault="00616131" w:rsidP="00616131">
            <w:pPr>
              <w:pStyle w:val="NoSpacing"/>
            </w:pPr>
            <w:r>
              <w:t>Relating to reading instruction, assessment instruments, and interventions provided to public school students.</w:t>
            </w:r>
          </w:p>
        </w:tc>
        <w:tc>
          <w:tcPr>
            <w:tcW w:w="2155" w:type="dxa"/>
          </w:tcPr>
          <w:p w14:paraId="3153F2EA" w14:textId="56620ED2" w:rsidR="009D557A" w:rsidRPr="004C0F30" w:rsidRDefault="00F36EA1" w:rsidP="009D557A">
            <w:pPr>
              <w:spacing w:after="0" w:line="240" w:lineRule="auto"/>
              <w:rPr>
                <w:rFonts w:eastAsia="Times New Roman" w:cstheme="minorHAnsi"/>
              </w:rPr>
            </w:pPr>
            <w:r>
              <w:rPr>
                <w:rFonts w:eastAsia="Times New Roman" w:cstheme="minorHAnsi"/>
              </w:rPr>
              <w:t>Data Collection</w:t>
            </w:r>
          </w:p>
        </w:tc>
      </w:tr>
      <w:tr w:rsidR="002A2F0F" w:rsidRPr="004C0F30" w14:paraId="077CD2C9" w14:textId="77777777" w:rsidTr="00CF172F">
        <w:trPr>
          <w:trHeight w:val="809"/>
        </w:trPr>
        <w:tc>
          <w:tcPr>
            <w:tcW w:w="2335" w:type="dxa"/>
            <w:shd w:val="clear" w:color="auto" w:fill="auto"/>
          </w:tcPr>
          <w:p w14:paraId="018A1BE8" w14:textId="41844925" w:rsidR="002A2F0F" w:rsidRDefault="002A2F0F" w:rsidP="009D557A">
            <w:pPr>
              <w:spacing w:after="0" w:line="240" w:lineRule="auto"/>
              <w:rPr>
                <w:rFonts w:eastAsia="Times New Roman" w:cstheme="minorHAnsi"/>
              </w:rPr>
            </w:pPr>
            <w:r>
              <w:rPr>
                <w:rFonts w:eastAsia="Times New Roman" w:cstheme="minorHAnsi"/>
              </w:rPr>
              <w:t>HB 2729</w:t>
            </w:r>
          </w:p>
        </w:tc>
        <w:tc>
          <w:tcPr>
            <w:tcW w:w="6300" w:type="dxa"/>
            <w:shd w:val="clear" w:color="auto" w:fill="auto"/>
          </w:tcPr>
          <w:p w14:paraId="535A6B6C" w14:textId="635DCB91" w:rsidR="003C6A66" w:rsidRDefault="003C6A66" w:rsidP="003C6A66">
            <w:pPr>
              <w:pStyle w:val="NoSpacing"/>
            </w:pPr>
            <w:r>
              <w:t>Relating to staff member requirements for high quality prekindergarten programs.</w:t>
            </w:r>
          </w:p>
          <w:p w14:paraId="2A5D37A0" w14:textId="77777777" w:rsidR="002A2F0F" w:rsidRPr="00A63E2A" w:rsidRDefault="002A2F0F" w:rsidP="009D557A">
            <w:pPr>
              <w:spacing w:after="0" w:line="240" w:lineRule="auto"/>
              <w:rPr>
                <w:rFonts w:eastAsia="Times New Roman" w:cstheme="minorHAnsi"/>
              </w:rPr>
            </w:pPr>
          </w:p>
        </w:tc>
        <w:tc>
          <w:tcPr>
            <w:tcW w:w="2155" w:type="dxa"/>
          </w:tcPr>
          <w:p w14:paraId="552BAC46" w14:textId="5BE0DC14" w:rsidR="002A2F0F" w:rsidRDefault="002A2F0F" w:rsidP="009D557A">
            <w:pPr>
              <w:spacing w:after="0" w:line="240" w:lineRule="auto"/>
              <w:rPr>
                <w:rFonts w:eastAsia="Times New Roman" w:cstheme="minorHAnsi"/>
              </w:rPr>
            </w:pPr>
            <w:r>
              <w:rPr>
                <w:rFonts w:eastAsia="Times New Roman" w:cstheme="minorHAnsi"/>
              </w:rPr>
              <w:t>Data Collection/TREx</w:t>
            </w:r>
          </w:p>
        </w:tc>
      </w:tr>
      <w:tr w:rsidR="002A2F0F" w:rsidRPr="004C0F30" w14:paraId="10A41EF7" w14:textId="77777777" w:rsidTr="00CF172F">
        <w:trPr>
          <w:trHeight w:val="809"/>
        </w:trPr>
        <w:tc>
          <w:tcPr>
            <w:tcW w:w="2335" w:type="dxa"/>
            <w:shd w:val="clear" w:color="auto" w:fill="auto"/>
          </w:tcPr>
          <w:p w14:paraId="31DD706E" w14:textId="4AEB88F7" w:rsidR="008003BE" w:rsidRPr="008003BE" w:rsidRDefault="008003BE" w:rsidP="008003BE">
            <w:pPr>
              <w:rPr>
                <w:rFonts w:eastAsia="Times New Roman" w:cstheme="minorHAnsi"/>
              </w:rPr>
            </w:pPr>
            <w:r>
              <w:rPr>
                <w:rFonts w:eastAsia="Times New Roman" w:cstheme="minorHAnsi"/>
              </w:rPr>
              <w:t>HB 2857</w:t>
            </w:r>
          </w:p>
        </w:tc>
        <w:tc>
          <w:tcPr>
            <w:tcW w:w="6300" w:type="dxa"/>
            <w:shd w:val="clear" w:color="auto" w:fill="auto"/>
          </w:tcPr>
          <w:p w14:paraId="172EEF19" w14:textId="0A089F15" w:rsidR="002A2F0F" w:rsidRPr="00474E14" w:rsidRDefault="00474E14" w:rsidP="00474E14">
            <w:pPr>
              <w:pStyle w:val="NoSpacing"/>
            </w:pPr>
            <w:r>
              <w:t xml:space="preserve">Relating to the removal of a public school student </w:t>
            </w:r>
            <w:proofErr w:type="gramStart"/>
            <w:r>
              <w:t>from  the</w:t>
            </w:r>
            <w:proofErr w:type="gramEnd"/>
            <w:r>
              <w:t xml:space="preserve"> classroom for engaging in conduct involving the possession of certain prohibited substances.</w:t>
            </w:r>
          </w:p>
        </w:tc>
        <w:tc>
          <w:tcPr>
            <w:tcW w:w="2155" w:type="dxa"/>
          </w:tcPr>
          <w:p w14:paraId="7E976254" w14:textId="45545D52" w:rsidR="002A2F0F" w:rsidRDefault="008003BE" w:rsidP="009D557A">
            <w:pPr>
              <w:spacing w:after="0" w:line="240" w:lineRule="auto"/>
              <w:rPr>
                <w:rFonts w:eastAsia="Times New Roman" w:cstheme="minorHAnsi"/>
              </w:rPr>
            </w:pPr>
            <w:r>
              <w:rPr>
                <w:rFonts w:eastAsia="Times New Roman" w:cstheme="minorHAnsi"/>
              </w:rPr>
              <w:t>Data Collection/TREx</w:t>
            </w:r>
          </w:p>
        </w:tc>
      </w:tr>
      <w:tr w:rsidR="008003BE" w:rsidRPr="004C0F30" w14:paraId="452B67EC" w14:textId="77777777" w:rsidTr="00CF172F">
        <w:trPr>
          <w:trHeight w:val="809"/>
        </w:trPr>
        <w:tc>
          <w:tcPr>
            <w:tcW w:w="2335" w:type="dxa"/>
            <w:shd w:val="clear" w:color="auto" w:fill="auto"/>
          </w:tcPr>
          <w:p w14:paraId="153E32EF" w14:textId="68617DE1" w:rsidR="008003BE" w:rsidRDefault="008003BE" w:rsidP="008003BE">
            <w:pPr>
              <w:rPr>
                <w:rFonts w:eastAsia="Times New Roman" w:cstheme="minorHAnsi"/>
              </w:rPr>
            </w:pPr>
            <w:r>
              <w:rPr>
                <w:rFonts w:eastAsia="Times New Roman" w:cstheme="minorHAnsi"/>
              </w:rPr>
              <w:t>HB 2923</w:t>
            </w:r>
          </w:p>
        </w:tc>
        <w:tc>
          <w:tcPr>
            <w:tcW w:w="6300" w:type="dxa"/>
            <w:shd w:val="clear" w:color="auto" w:fill="auto"/>
          </w:tcPr>
          <w:p w14:paraId="0E34A65C" w14:textId="2D832521" w:rsidR="008003BE" w:rsidRPr="004B54FE" w:rsidRDefault="004B54FE" w:rsidP="004B54FE">
            <w:pPr>
              <w:pStyle w:val="NoSpacing"/>
            </w:pPr>
            <w:r>
              <w:t>Relating to the operation of free prekindergarten programs by certain school districts and to the early education allotment under the Foundation School Program.</w:t>
            </w:r>
          </w:p>
        </w:tc>
        <w:tc>
          <w:tcPr>
            <w:tcW w:w="2155" w:type="dxa"/>
          </w:tcPr>
          <w:p w14:paraId="14DEDF5B" w14:textId="7C560F3E" w:rsidR="008003BE" w:rsidRDefault="008003BE" w:rsidP="009D557A">
            <w:pPr>
              <w:spacing w:after="0" w:line="240" w:lineRule="auto"/>
              <w:rPr>
                <w:rFonts w:eastAsia="Times New Roman" w:cstheme="minorHAnsi"/>
              </w:rPr>
            </w:pPr>
            <w:r>
              <w:rPr>
                <w:rFonts w:eastAsia="Times New Roman" w:cstheme="minorHAnsi"/>
              </w:rPr>
              <w:t>Data Collection</w:t>
            </w:r>
          </w:p>
        </w:tc>
      </w:tr>
      <w:tr w:rsidR="008003BE" w:rsidRPr="004C0F30" w14:paraId="749A3893" w14:textId="77777777" w:rsidTr="00CF172F">
        <w:trPr>
          <w:trHeight w:val="809"/>
        </w:trPr>
        <w:tc>
          <w:tcPr>
            <w:tcW w:w="2335" w:type="dxa"/>
            <w:shd w:val="clear" w:color="auto" w:fill="auto"/>
          </w:tcPr>
          <w:p w14:paraId="4D693BDE" w14:textId="57600B09" w:rsidR="008003BE" w:rsidRDefault="000551EA" w:rsidP="008003BE">
            <w:pPr>
              <w:rPr>
                <w:rFonts w:eastAsia="Times New Roman" w:cstheme="minorHAnsi"/>
              </w:rPr>
            </w:pPr>
            <w:r>
              <w:rPr>
                <w:rFonts w:eastAsia="Times New Roman" w:cstheme="minorHAnsi"/>
              </w:rPr>
              <w:t>SB 8</w:t>
            </w:r>
          </w:p>
        </w:tc>
        <w:tc>
          <w:tcPr>
            <w:tcW w:w="6300" w:type="dxa"/>
            <w:shd w:val="clear" w:color="auto" w:fill="auto"/>
          </w:tcPr>
          <w:p w14:paraId="592AA517" w14:textId="17708E54" w:rsidR="008003BE" w:rsidRPr="00336633" w:rsidRDefault="00336633" w:rsidP="00336633">
            <w:pPr>
              <w:pStyle w:val="NoSpacing"/>
            </w:pPr>
            <w:r>
              <w:t xml:space="preserve">Relating to public education, including parental rights and </w:t>
            </w:r>
            <w:proofErr w:type="gramStart"/>
            <w:r>
              <w:t>public school</w:t>
            </w:r>
            <w:proofErr w:type="gramEnd"/>
            <w:r>
              <w:t xml:space="preserve"> responsibilities regarding instructional materials and the establishment of an education savings account program.</w:t>
            </w:r>
          </w:p>
        </w:tc>
        <w:tc>
          <w:tcPr>
            <w:tcW w:w="2155" w:type="dxa"/>
          </w:tcPr>
          <w:p w14:paraId="540C3D58" w14:textId="25E3D3E6" w:rsidR="008003BE" w:rsidRDefault="00271AE9" w:rsidP="009D557A">
            <w:pPr>
              <w:spacing w:after="0" w:line="240" w:lineRule="auto"/>
              <w:rPr>
                <w:rFonts w:eastAsia="Times New Roman" w:cstheme="minorHAnsi"/>
              </w:rPr>
            </w:pPr>
            <w:r>
              <w:rPr>
                <w:rFonts w:eastAsia="Times New Roman" w:cstheme="minorHAnsi"/>
              </w:rPr>
              <w:t>Data Collection (Unique ID ET)</w:t>
            </w:r>
          </w:p>
        </w:tc>
      </w:tr>
      <w:tr w:rsidR="000551EA" w:rsidRPr="004C0F30" w14:paraId="1A335082" w14:textId="77777777" w:rsidTr="00CF172F">
        <w:trPr>
          <w:trHeight w:val="809"/>
        </w:trPr>
        <w:tc>
          <w:tcPr>
            <w:tcW w:w="2335" w:type="dxa"/>
            <w:shd w:val="clear" w:color="auto" w:fill="auto"/>
          </w:tcPr>
          <w:p w14:paraId="35DC24C9" w14:textId="60EE6608" w:rsidR="000551EA" w:rsidRDefault="00271AE9" w:rsidP="008003BE">
            <w:pPr>
              <w:rPr>
                <w:rFonts w:eastAsia="Times New Roman" w:cstheme="minorHAnsi"/>
              </w:rPr>
            </w:pPr>
            <w:r>
              <w:rPr>
                <w:rFonts w:eastAsia="Times New Roman" w:cstheme="minorHAnsi"/>
              </w:rPr>
              <w:t>SB 9</w:t>
            </w:r>
          </w:p>
        </w:tc>
        <w:tc>
          <w:tcPr>
            <w:tcW w:w="6300" w:type="dxa"/>
            <w:shd w:val="clear" w:color="auto" w:fill="auto"/>
          </w:tcPr>
          <w:p w14:paraId="597BFA6D" w14:textId="4C17E2A8" w:rsidR="000551EA" w:rsidRPr="00306182" w:rsidRDefault="00306182" w:rsidP="00306182">
            <w:pPr>
              <w:pStyle w:val="NoSpacing"/>
            </w:pPr>
            <w:r>
              <w:t xml:space="preserve">Relating to the rights, certification, and compensation of </w:t>
            </w:r>
            <w:proofErr w:type="gramStart"/>
            <w:r>
              <w:t>public school</w:t>
            </w:r>
            <w:proofErr w:type="gramEnd"/>
            <w:r>
              <w:t xml:space="preserve"> educators and assistance provided to public schools by the Texas Education Agency related to public school educators and to certain allotments under the Foundation School Program.</w:t>
            </w:r>
          </w:p>
        </w:tc>
        <w:tc>
          <w:tcPr>
            <w:tcW w:w="2155" w:type="dxa"/>
          </w:tcPr>
          <w:p w14:paraId="04430569" w14:textId="7CA02731" w:rsidR="000551EA" w:rsidRDefault="00271AE9" w:rsidP="009D557A">
            <w:pPr>
              <w:spacing w:after="0" w:line="240" w:lineRule="auto"/>
              <w:rPr>
                <w:rFonts w:eastAsia="Times New Roman" w:cstheme="minorHAnsi"/>
              </w:rPr>
            </w:pPr>
            <w:r>
              <w:rPr>
                <w:rFonts w:eastAsia="Times New Roman" w:cstheme="minorHAnsi"/>
              </w:rPr>
              <w:t>Data Collection</w:t>
            </w:r>
          </w:p>
        </w:tc>
      </w:tr>
      <w:tr w:rsidR="00DF5FA2" w:rsidRPr="004C0F30" w14:paraId="4CF9113F" w14:textId="77777777" w:rsidTr="00CF172F">
        <w:trPr>
          <w:trHeight w:val="809"/>
        </w:trPr>
        <w:tc>
          <w:tcPr>
            <w:tcW w:w="2335" w:type="dxa"/>
            <w:shd w:val="clear" w:color="auto" w:fill="auto"/>
          </w:tcPr>
          <w:p w14:paraId="3007E8E0" w14:textId="41BF9289" w:rsidR="00DF5FA2" w:rsidRDefault="00DF5FA2" w:rsidP="008003BE">
            <w:pPr>
              <w:rPr>
                <w:rFonts w:eastAsia="Times New Roman" w:cstheme="minorHAnsi"/>
              </w:rPr>
            </w:pPr>
            <w:r>
              <w:rPr>
                <w:rFonts w:eastAsia="Times New Roman" w:cstheme="minorHAnsi"/>
              </w:rPr>
              <w:t>SB 11</w:t>
            </w:r>
          </w:p>
        </w:tc>
        <w:tc>
          <w:tcPr>
            <w:tcW w:w="6300" w:type="dxa"/>
            <w:shd w:val="clear" w:color="auto" w:fill="auto"/>
          </w:tcPr>
          <w:p w14:paraId="3A7DB683" w14:textId="7BFC2923" w:rsidR="00173C12" w:rsidRPr="00173C12" w:rsidRDefault="00173C12" w:rsidP="00173C12">
            <w:pPr>
              <w:pStyle w:val="NoSpacing"/>
            </w:pPr>
            <w:r>
              <w:t>Relating to measures for ensuring safety and security in public schools, including measures related to certain student records and truant conduct.</w:t>
            </w:r>
          </w:p>
        </w:tc>
        <w:tc>
          <w:tcPr>
            <w:tcW w:w="2155" w:type="dxa"/>
          </w:tcPr>
          <w:p w14:paraId="03CF90F7" w14:textId="0CE175B4" w:rsidR="00DF5FA2" w:rsidRDefault="00DF5FA2" w:rsidP="009D557A">
            <w:pPr>
              <w:spacing w:after="0" w:line="240" w:lineRule="auto"/>
              <w:rPr>
                <w:rFonts w:eastAsia="Times New Roman" w:cstheme="minorHAnsi"/>
              </w:rPr>
            </w:pPr>
            <w:r>
              <w:rPr>
                <w:rFonts w:eastAsia="Times New Roman" w:cstheme="minorHAnsi"/>
              </w:rPr>
              <w:t>Data Collection/TREx</w:t>
            </w:r>
          </w:p>
        </w:tc>
      </w:tr>
      <w:tr w:rsidR="00DF5FA2" w:rsidRPr="004C0F30" w14:paraId="5970A767" w14:textId="77777777" w:rsidTr="00CF172F">
        <w:trPr>
          <w:trHeight w:val="809"/>
        </w:trPr>
        <w:tc>
          <w:tcPr>
            <w:tcW w:w="2335" w:type="dxa"/>
            <w:shd w:val="clear" w:color="auto" w:fill="auto"/>
          </w:tcPr>
          <w:p w14:paraId="79C3A6D0" w14:textId="1B9B3D9C" w:rsidR="00DF5FA2" w:rsidRDefault="00F05E0A" w:rsidP="008003BE">
            <w:pPr>
              <w:rPr>
                <w:rFonts w:eastAsia="Times New Roman" w:cstheme="minorHAnsi"/>
              </w:rPr>
            </w:pPr>
            <w:r>
              <w:rPr>
                <w:rFonts w:eastAsia="Times New Roman" w:cstheme="minorHAnsi"/>
              </w:rPr>
              <w:lastRenderedPageBreak/>
              <w:t>SB 992</w:t>
            </w:r>
          </w:p>
        </w:tc>
        <w:tc>
          <w:tcPr>
            <w:tcW w:w="6300" w:type="dxa"/>
            <w:shd w:val="clear" w:color="auto" w:fill="auto"/>
          </w:tcPr>
          <w:p w14:paraId="61E378A4" w14:textId="18EF0744" w:rsidR="00DF5FA2" w:rsidRPr="00E947F7" w:rsidRDefault="00E947F7" w:rsidP="00E947F7">
            <w:pPr>
              <w:pStyle w:val="NoSpacing"/>
            </w:pPr>
            <w:r>
              <w:t>Relating to establishing the Rural Pathway Excellence Partnership (R-PEP) program and creating an allotment and outcomes bonus under the Foundation School Program to support the program.</w:t>
            </w:r>
          </w:p>
        </w:tc>
        <w:tc>
          <w:tcPr>
            <w:tcW w:w="2155" w:type="dxa"/>
          </w:tcPr>
          <w:p w14:paraId="6E9807D0" w14:textId="62338ED4" w:rsidR="00DF5FA2" w:rsidRDefault="00F05E0A" w:rsidP="009D557A">
            <w:pPr>
              <w:spacing w:after="0" w:line="240" w:lineRule="auto"/>
              <w:rPr>
                <w:rFonts w:eastAsia="Times New Roman" w:cstheme="minorHAnsi"/>
              </w:rPr>
            </w:pPr>
            <w:r>
              <w:rPr>
                <w:rFonts w:eastAsia="Times New Roman" w:cstheme="minorHAnsi"/>
              </w:rPr>
              <w:t>Data Collection</w:t>
            </w:r>
          </w:p>
        </w:tc>
      </w:tr>
      <w:tr w:rsidR="00F05E0A" w:rsidRPr="004C0F30" w14:paraId="5364F050" w14:textId="77777777" w:rsidTr="00CF172F">
        <w:trPr>
          <w:trHeight w:val="809"/>
        </w:trPr>
        <w:tc>
          <w:tcPr>
            <w:tcW w:w="2335" w:type="dxa"/>
            <w:shd w:val="clear" w:color="auto" w:fill="auto"/>
          </w:tcPr>
          <w:p w14:paraId="37EAE3B0" w14:textId="22FFD158" w:rsidR="00F05E0A" w:rsidRDefault="00F05E0A" w:rsidP="008003BE">
            <w:pPr>
              <w:rPr>
                <w:rFonts w:eastAsia="Times New Roman" w:cstheme="minorHAnsi"/>
              </w:rPr>
            </w:pPr>
            <w:r>
              <w:rPr>
                <w:rFonts w:eastAsia="Times New Roman" w:cstheme="minorHAnsi"/>
              </w:rPr>
              <w:t>SB 1861</w:t>
            </w:r>
          </w:p>
        </w:tc>
        <w:tc>
          <w:tcPr>
            <w:tcW w:w="6300" w:type="dxa"/>
            <w:shd w:val="clear" w:color="auto" w:fill="auto"/>
          </w:tcPr>
          <w:p w14:paraId="492DB8DE" w14:textId="1BFEF898" w:rsidR="00F05E0A" w:rsidRPr="00190587" w:rsidRDefault="00190587" w:rsidP="00190587">
            <w:pPr>
              <w:pStyle w:val="NoSpacing"/>
            </w:pPr>
            <w:r>
              <w:t>Relating to the provision of virtual education in public schools and to certain waivers and modifications by the commissioner of education to the method of calculating average daily attendance in an emergency or crisis for purposes of preserving school district funding entitlements under the Foundation School Program during that emergency or crisis; authorizing a fee.</w:t>
            </w:r>
          </w:p>
        </w:tc>
        <w:tc>
          <w:tcPr>
            <w:tcW w:w="2155" w:type="dxa"/>
          </w:tcPr>
          <w:p w14:paraId="7A1A05FF" w14:textId="4FB07A8F" w:rsidR="00F05E0A" w:rsidRDefault="00F05E0A" w:rsidP="009D557A">
            <w:pPr>
              <w:spacing w:after="0" w:line="240" w:lineRule="auto"/>
              <w:rPr>
                <w:rFonts w:eastAsia="Times New Roman" w:cstheme="minorHAnsi"/>
              </w:rPr>
            </w:pPr>
            <w:r>
              <w:rPr>
                <w:rFonts w:eastAsia="Times New Roman" w:cstheme="minorHAnsi"/>
              </w:rPr>
              <w:t>Data Collection/TREx</w:t>
            </w:r>
          </w:p>
        </w:tc>
      </w:tr>
      <w:tr w:rsidR="00F05E0A" w:rsidRPr="004C0F30" w14:paraId="5AA27A36" w14:textId="77777777" w:rsidTr="00CF172F">
        <w:trPr>
          <w:trHeight w:val="809"/>
        </w:trPr>
        <w:tc>
          <w:tcPr>
            <w:tcW w:w="2335" w:type="dxa"/>
            <w:shd w:val="clear" w:color="auto" w:fill="auto"/>
          </w:tcPr>
          <w:p w14:paraId="191995D0" w14:textId="67E00117" w:rsidR="00F05E0A" w:rsidRDefault="00F05E0A" w:rsidP="008003BE">
            <w:pPr>
              <w:rPr>
                <w:rFonts w:eastAsia="Times New Roman" w:cstheme="minorHAnsi"/>
              </w:rPr>
            </w:pPr>
            <w:r>
              <w:rPr>
                <w:rFonts w:eastAsia="Times New Roman" w:cstheme="minorHAnsi"/>
              </w:rPr>
              <w:t>SB 2032</w:t>
            </w:r>
          </w:p>
        </w:tc>
        <w:tc>
          <w:tcPr>
            <w:tcW w:w="6300" w:type="dxa"/>
            <w:shd w:val="clear" w:color="auto" w:fill="auto"/>
          </w:tcPr>
          <w:p w14:paraId="059501C4" w14:textId="5AE454E1" w:rsidR="00F05E0A" w:rsidRPr="00042FCC" w:rsidRDefault="00042FCC" w:rsidP="00042FCC">
            <w:pPr>
              <w:pStyle w:val="NoSpacing"/>
            </w:pPr>
            <w:r>
              <w:t>Relating to the authorization of certain adult high school charter school programs.</w:t>
            </w:r>
          </w:p>
        </w:tc>
        <w:tc>
          <w:tcPr>
            <w:tcW w:w="2155" w:type="dxa"/>
          </w:tcPr>
          <w:p w14:paraId="40716E55" w14:textId="33C08477" w:rsidR="00F05E0A" w:rsidRDefault="00F05E0A" w:rsidP="009D557A">
            <w:pPr>
              <w:spacing w:after="0" w:line="240" w:lineRule="auto"/>
              <w:rPr>
                <w:rFonts w:eastAsia="Times New Roman" w:cstheme="minorHAnsi"/>
              </w:rPr>
            </w:pPr>
            <w:r>
              <w:rPr>
                <w:rFonts w:eastAsia="Times New Roman" w:cstheme="minorHAnsi"/>
              </w:rPr>
              <w:t>Data Collection</w:t>
            </w:r>
          </w:p>
        </w:tc>
      </w:tr>
      <w:tr w:rsidR="00A730AF" w:rsidRPr="004C0F30" w14:paraId="3B08987E" w14:textId="77777777" w:rsidTr="00CF172F">
        <w:trPr>
          <w:trHeight w:val="809"/>
        </w:trPr>
        <w:tc>
          <w:tcPr>
            <w:tcW w:w="2335" w:type="dxa"/>
            <w:shd w:val="clear" w:color="auto" w:fill="auto"/>
          </w:tcPr>
          <w:p w14:paraId="1E47F22F" w14:textId="19D38049" w:rsidR="00A730AF" w:rsidRDefault="00A730AF" w:rsidP="00A730AF">
            <w:pPr>
              <w:rPr>
                <w:rFonts w:eastAsia="Times New Roman" w:cstheme="minorHAnsi"/>
              </w:rPr>
            </w:pPr>
            <w:r>
              <w:rPr>
                <w:rFonts w:eastAsia="Times New Roman" w:cstheme="minorHAnsi"/>
              </w:rPr>
              <w:t>SB 2354</w:t>
            </w:r>
          </w:p>
        </w:tc>
        <w:tc>
          <w:tcPr>
            <w:tcW w:w="6300" w:type="dxa"/>
            <w:shd w:val="clear" w:color="auto" w:fill="auto"/>
          </w:tcPr>
          <w:p w14:paraId="4922AE18" w14:textId="61ED2A4A" w:rsidR="00A730AF" w:rsidRDefault="00A730AF" w:rsidP="00A730AF">
            <w:pPr>
              <w:pStyle w:val="NoSpacing"/>
            </w:pPr>
            <w:r>
              <w:t>Relating to the establishment of the Education Savings Account Program to allow certain disadvantaged children and their siblings to use public money to pursue educational alternatives to public schools and an insurance premium tax credit for contributions made for purposes of that program.</w:t>
            </w:r>
          </w:p>
        </w:tc>
        <w:tc>
          <w:tcPr>
            <w:tcW w:w="2155" w:type="dxa"/>
          </w:tcPr>
          <w:p w14:paraId="527DB153" w14:textId="627C3472" w:rsidR="00A730AF" w:rsidRDefault="00A730AF" w:rsidP="00A730AF">
            <w:pPr>
              <w:spacing w:after="0" w:line="240" w:lineRule="auto"/>
              <w:rPr>
                <w:rFonts w:eastAsia="Times New Roman" w:cstheme="minorHAnsi"/>
              </w:rPr>
            </w:pPr>
            <w:r>
              <w:rPr>
                <w:rFonts w:eastAsia="Times New Roman" w:cstheme="minorHAnsi"/>
              </w:rPr>
              <w:t>Data Collection/TREx</w:t>
            </w:r>
          </w:p>
        </w:tc>
      </w:tr>
    </w:tbl>
    <w:p w14:paraId="1AE6FACA" w14:textId="77777777" w:rsidR="00782B4E" w:rsidRPr="004C0F30" w:rsidRDefault="00782B4E" w:rsidP="00782B4E">
      <w:pPr>
        <w:spacing w:after="0" w:line="240" w:lineRule="auto"/>
        <w:rPr>
          <w:rFonts w:cstheme="minorHAnsi"/>
          <w:b/>
        </w:rPr>
      </w:pPr>
    </w:p>
    <w:sectPr w:rsidR="00782B4E" w:rsidRPr="004C0F30" w:rsidSect="00782B4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B7D9" w14:textId="77777777" w:rsidR="00C64897" w:rsidRDefault="00C64897" w:rsidP="00782B4E">
      <w:pPr>
        <w:spacing w:after="0" w:line="240" w:lineRule="auto"/>
      </w:pPr>
      <w:r>
        <w:separator/>
      </w:r>
    </w:p>
  </w:endnote>
  <w:endnote w:type="continuationSeparator" w:id="0">
    <w:p w14:paraId="5EF5DD1E" w14:textId="77777777" w:rsidR="00C64897" w:rsidRDefault="00C64897" w:rsidP="0078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09528"/>
      <w:docPartObj>
        <w:docPartGallery w:val="Page Numbers (Bottom of Page)"/>
        <w:docPartUnique/>
      </w:docPartObj>
    </w:sdtPr>
    <w:sdtEndPr>
      <w:rPr>
        <w:spacing w:val="60"/>
      </w:rPr>
    </w:sdtEndPr>
    <w:sdtContent>
      <w:p w14:paraId="11E6D67B" w14:textId="77777777" w:rsidR="001108EA" w:rsidRDefault="001108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C5F85" w:rsidRPr="00CC5F85">
          <w:rPr>
            <w:b/>
            <w:bCs/>
            <w:noProof/>
          </w:rPr>
          <w:t>1</w:t>
        </w:r>
        <w:r>
          <w:rPr>
            <w:b/>
            <w:bCs/>
            <w:noProof/>
          </w:rPr>
          <w:fldChar w:fldCharType="end"/>
        </w:r>
        <w:r>
          <w:rPr>
            <w:b/>
            <w:bCs/>
          </w:rPr>
          <w:t xml:space="preserve"> | </w:t>
        </w:r>
        <w:r w:rsidRPr="005E1C2E">
          <w:rPr>
            <w:spacing w:val="60"/>
          </w:rPr>
          <w:t>Page</w:t>
        </w:r>
      </w:p>
    </w:sdtContent>
  </w:sdt>
  <w:p w14:paraId="5FBEDE36" w14:textId="77777777" w:rsidR="001108EA" w:rsidRDefault="0011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A6C7" w14:textId="77777777" w:rsidR="00C64897" w:rsidRDefault="00C64897" w:rsidP="00782B4E">
      <w:pPr>
        <w:spacing w:after="0" w:line="240" w:lineRule="auto"/>
      </w:pPr>
      <w:r>
        <w:separator/>
      </w:r>
    </w:p>
  </w:footnote>
  <w:footnote w:type="continuationSeparator" w:id="0">
    <w:p w14:paraId="0DC8078E" w14:textId="77777777" w:rsidR="00C64897" w:rsidRDefault="00C64897" w:rsidP="00782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65178"/>
      <w:docPartObj>
        <w:docPartGallery w:val="Watermarks"/>
        <w:docPartUnique/>
      </w:docPartObj>
    </w:sdtPr>
    <w:sdtContent>
      <w:p w14:paraId="3A4D0A5E" w14:textId="77777777" w:rsidR="001108EA" w:rsidRDefault="00000000">
        <w:pPr>
          <w:pStyle w:val="Header"/>
        </w:pPr>
        <w:r>
          <w:rPr>
            <w:noProof/>
          </w:rPr>
          <w:pict w14:anchorId="2C127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91E4D"/>
    <w:multiLevelType w:val="hybridMultilevel"/>
    <w:tmpl w:val="3192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34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4E"/>
    <w:rsid w:val="00001246"/>
    <w:rsid w:val="000019A6"/>
    <w:rsid w:val="00001ACF"/>
    <w:rsid w:val="00002858"/>
    <w:rsid w:val="00003D0C"/>
    <w:rsid w:val="0001398B"/>
    <w:rsid w:val="00014474"/>
    <w:rsid w:val="00020032"/>
    <w:rsid w:val="000264A3"/>
    <w:rsid w:val="0003011C"/>
    <w:rsid w:val="00033DA0"/>
    <w:rsid w:val="00042FCC"/>
    <w:rsid w:val="00043EA3"/>
    <w:rsid w:val="00046B4D"/>
    <w:rsid w:val="000479D7"/>
    <w:rsid w:val="00050E28"/>
    <w:rsid w:val="000551EA"/>
    <w:rsid w:val="00061F88"/>
    <w:rsid w:val="00065384"/>
    <w:rsid w:val="00070DD9"/>
    <w:rsid w:val="00071CC2"/>
    <w:rsid w:val="0007544C"/>
    <w:rsid w:val="0007560E"/>
    <w:rsid w:val="000767F7"/>
    <w:rsid w:val="000805FC"/>
    <w:rsid w:val="00084A6D"/>
    <w:rsid w:val="00090230"/>
    <w:rsid w:val="000909EF"/>
    <w:rsid w:val="00091006"/>
    <w:rsid w:val="00094DF8"/>
    <w:rsid w:val="000950A1"/>
    <w:rsid w:val="0009638C"/>
    <w:rsid w:val="000964DA"/>
    <w:rsid w:val="000A31F9"/>
    <w:rsid w:val="000A453E"/>
    <w:rsid w:val="000B4DE1"/>
    <w:rsid w:val="000C1C64"/>
    <w:rsid w:val="000C2A69"/>
    <w:rsid w:val="000C420C"/>
    <w:rsid w:val="000D59EC"/>
    <w:rsid w:val="000D7062"/>
    <w:rsid w:val="000E0F15"/>
    <w:rsid w:val="000E1E95"/>
    <w:rsid w:val="000F7AA2"/>
    <w:rsid w:val="001051F6"/>
    <w:rsid w:val="00106FBE"/>
    <w:rsid w:val="001108EA"/>
    <w:rsid w:val="00111C6B"/>
    <w:rsid w:val="00112676"/>
    <w:rsid w:val="00113ED5"/>
    <w:rsid w:val="00123057"/>
    <w:rsid w:val="0012309D"/>
    <w:rsid w:val="001246E0"/>
    <w:rsid w:val="0012692F"/>
    <w:rsid w:val="0012718A"/>
    <w:rsid w:val="00130B10"/>
    <w:rsid w:val="00131890"/>
    <w:rsid w:val="00137A19"/>
    <w:rsid w:val="00143365"/>
    <w:rsid w:val="00143C7A"/>
    <w:rsid w:val="001579B8"/>
    <w:rsid w:val="00160B2E"/>
    <w:rsid w:val="0016121F"/>
    <w:rsid w:val="0016211C"/>
    <w:rsid w:val="00162FF4"/>
    <w:rsid w:val="00166BD5"/>
    <w:rsid w:val="0016725C"/>
    <w:rsid w:val="00170ADC"/>
    <w:rsid w:val="00173C12"/>
    <w:rsid w:val="001803AE"/>
    <w:rsid w:val="00180A86"/>
    <w:rsid w:val="00180AF8"/>
    <w:rsid w:val="00182A12"/>
    <w:rsid w:val="0018506E"/>
    <w:rsid w:val="001867EE"/>
    <w:rsid w:val="0019012E"/>
    <w:rsid w:val="00190587"/>
    <w:rsid w:val="001B1EE1"/>
    <w:rsid w:val="001B28CC"/>
    <w:rsid w:val="001B4C6D"/>
    <w:rsid w:val="001B6F88"/>
    <w:rsid w:val="001C21F3"/>
    <w:rsid w:val="001D2B48"/>
    <w:rsid w:val="001D42A3"/>
    <w:rsid w:val="001D4368"/>
    <w:rsid w:val="001E1E9E"/>
    <w:rsid w:val="001E2198"/>
    <w:rsid w:val="001E6AB9"/>
    <w:rsid w:val="001E6DF8"/>
    <w:rsid w:val="001F34AA"/>
    <w:rsid w:val="001F5055"/>
    <w:rsid w:val="0020198B"/>
    <w:rsid w:val="002025B8"/>
    <w:rsid w:val="00203BA8"/>
    <w:rsid w:val="00204CCC"/>
    <w:rsid w:val="00205BE5"/>
    <w:rsid w:val="00206444"/>
    <w:rsid w:val="002069CB"/>
    <w:rsid w:val="00207133"/>
    <w:rsid w:val="00216AA8"/>
    <w:rsid w:val="002209BC"/>
    <w:rsid w:val="00222DCD"/>
    <w:rsid w:val="00223E39"/>
    <w:rsid w:val="002259CD"/>
    <w:rsid w:val="002309F2"/>
    <w:rsid w:val="002338BA"/>
    <w:rsid w:val="00237315"/>
    <w:rsid w:val="002550B0"/>
    <w:rsid w:val="00255920"/>
    <w:rsid w:val="00255A7A"/>
    <w:rsid w:val="00256D22"/>
    <w:rsid w:val="002614A3"/>
    <w:rsid w:val="002678F6"/>
    <w:rsid w:val="00267D12"/>
    <w:rsid w:val="00270A4B"/>
    <w:rsid w:val="00271AE9"/>
    <w:rsid w:val="00274272"/>
    <w:rsid w:val="0027622A"/>
    <w:rsid w:val="00282DA5"/>
    <w:rsid w:val="00294AB7"/>
    <w:rsid w:val="002A01B1"/>
    <w:rsid w:val="002A13AF"/>
    <w:rsid w:val="002A1901"/>
    <w:rsid w:val="002A2F0F"/>
    <w:rsid w:val="002A7596"/>
    <w:rsid w:val="002B0CB7"/>
    <w:rsid w:val="002B191C"/>
    <w:rsid w:val="002D228A"/>
    <w:rsid w:val="002D48D5"/>
    <w:rsid w:val="002E0241"/>
    <w:rsid w:val="002E0553"/>
    <w:rsid w:val="002E4DF9"/>
    <w:rsid w:val="002E6F20"/>
    <w:rsid w:val="002F0B27"/>
    <w:rsid w:val="002F4C3B"/>
    <w:rsid w:val="002F56CD"/>
    <w:rsid w:val="0030170A"/>
    <w:rsid w:val="00303553"/>
    <w:rsid w:val="00303D2D"/>
    <w:rsid w:val="00306182"/>
    <w:rsid w:val="003078D1"/>
    <w:rsid w:val="00307DC5"/>
    <w:rsid w:val="00314CD1"/>
    <w:rsid w:val="00315AD1"/>
    <w:rsid w:val="00315E4C"/>
    <w:rsid w:val="003220B1"/>
    <w:rsid w:val="00323312"/>
    <w:rsid w:val="0032675A"/>
    <w:rsid w:val="00327847"/>
    <w:rsid w:val="003320F9"/>
    <w:rsid w:val="00336633"/>
    <w:rsid w:val="00345FC3"/>
    <w:rsid w:val="003468DF"/>
    <w:rsid w:val="00351E53"/>
    <w:rsid w:val="003543FA"/>
    <w:rsid w:val="00361576"/>
    <w:rsid w:val="00363729"/>
    <w:rsid w:val="00365F25"/>
    <w:rsid w:val="003670B2"/>
    <w:rsid w:val="0037451D"/>
    <w:rsid w:val="00377539"/>
    <w:rsid w:val="0038055D"/>
    <w:rsid w:val="0038275C"/>
    <w:rsid w:val="00383D1D"/>
    <w:rsid w:val="003859C7"/>
    <w:rsid w:val="0038681E"/>
    <w:rsid w:val="00391B5F"/>
    <w:rsid w:val="00396D30"/>
    <w:rsid w:val="003A09DB"/>
    <w:rsid w:val="003A1FA2"/>
    <w:rsid w:val="003A7145"/>
    <w:rsid w:val="003A7FD0"/>
    <w:rsid w:val="003B7D4B"/>
    <w:rsid w:val="003C0600"/>
    <w:rsid w:val="003C3A8F"/>
    <w:rsid w:val="003C44BE"/>
    <w:rsid w:val="003C6A66"/>
    <w:rsid w:val="003C7CF1"/>
    <w:rsid w:val="003D2527"/>
    <w:rsid w:val="003D4C6F"/>
    <w:rsid w:val="003D4E4A"/>
    <w:rsid w:val="003E0586"/>
    <w:rsid w:val="003E0750"/>
    <w:rsid w:val="003F1532"/>
    <w:rsid w:val="003F2DCA"/>
    <w:rsid w:val="003F7564"/>
    <w:rsid w:val="004113CE"/>
    <w:rsid w:val="00414A1C"/>
    <w:rsid w:val="00416B60"/>
    <w:rsid w:val="00420B41"/>
    <w:rsid w:val="00421890"/>
    <w:rsid w:val="0042252A"/>
    <w:rsid w:val="004249E3"/>
    <w:rsid w:val="0042748B"/>
    <w:rsid w:val="004317AB"/>
    <w:rsid w:val="00435DEC"/>
    <w:rsid w:val="00436675"/>
    <w:rsid w:val="00440F73"/>
    <w:rsid w:val="004424A9"/>
    <w:rsid w:val="00442937"/>
    <w:rsid w:val="0044782D"/>
    <w:rsid w:val="00460886"/>
    <w:rsid w:val="0046104B"/>
    <w:rsid w:val="0046227C"/>
    <w:rsid w:val="00464553"/>
    <w:rsid w:val="004648AC"/>
    <w:rsid w:val="004653F7"/>
    <w:rsid w:val="00465592"/>
    <w:rsid w:val="004748D1"/>
    <w:rsid w:val="00474E14"/>
    <w:rsid w:val="00474F83"/>
    <w:rsid w:val="00486E89"/>
    <w:rsid w:val="00490203"/>
    <w:rsid w:val="004916EC"/>
    <w:rsid w:val="00492727"/>
    <w:rsid w:val="00492800"/>
    <w:rsid w:val="00493025"/>
    <w:rsid w:val="00493AD1"/>
    <w:rsid w:val="004A1198"/>
    <w:rsid w:val="004A3327"/>
    <w:rsid w:val="004A3C42"/>
    <w:rsid w:val="004A7F9E"/>
    <w:rsid w:val="004B4489"/>
    <w:rsid w:val="004B54FE"/>
    <w:rsid w:val="004C0F30"/>
    <w:rsid w:val="004C15DA"/>
    <w:rsid w:val="004C1A7A"/>
    <w:rsid w:val="004C2D59"/>
    <w:rsid w:val="004C688C"/>
    <w:rsid w:val="004D3D64"/>
    <w:rsid w:val="004D648E"/>
    <w:rsid w:val="004E0A0F"/>
    <w:rsid w:val="004E0C7C"/>
    <w:rsid w:val="004E401E"/>
    <w:rsid w:val="004E453B"/>
    <w:rsid w:val="004E6962"/>
    <w:rsid w:val="004E7AC0"/>
    <w:rsid w:val="004E7B67"/>
    <w:rsid w:val="004F0CD1"/>
    <w:rsid w:val="004F6F28"/>
    <w:rsid w:val="004F75CC"/>
    <w:rsid w:val="00500AD8"/>
    <w:rsid w:val="0050260A"/>
    <w:rsid w:val="00503BDA"/>
    <w:rsid w:val="0051018A"/>
    <w:rsid w:val="0051245F"/>
    <w:rsid w:val="00512762"/>
    <w:rsid w:val="00514678"/>
    <w:rsid w:val="0051751A"/>
    <w:rsid w:val="00517786"/>
    <w:rsid w:val="005207C4"/>
    <w:rsid w:val="00524F0A"/>
    <w:rsid w:val="00527D70"/>
    <w:rsid w:val="00540EB9"/>
    <w:rsid w:val="005439A4"/>
    <w:rsid w:val="0054534B"/>
    <w:rsid w:val="00551AA7"/>
    <w:rsid w:val="00557CA6"/>
    <w:rsid w:val="00560D90"/>
    <w:rsid w:val="00565DFD"/>
    <w:rsid w:val="00566C00"/>
    <w:rsid w:val="00566C3E"/>
    <w:rsid w:val="00570052"/>
    <w:rsid w:val="005745FF"/>
    <w:rsid w:val="0057509C"/>
    <w:rsid w:val="00575B6C"/>
    <w:rsid w:val="0057719C"/>
    <w:rsid w:val="005777AB"/>
    <w:rsid w:val="005824DB"/>
    <w:rsid w:val="0058365A"/>
    <w:rsid w:val="00594637"/>
    <w:rsid w:val="00594718"/>
    <w:rsid w:val="00594BC5"/>
    <w:rsid w:val="005973B7"/>
    <w:rsid w:val="005A7DFC"/>
    <w:rsid w:val="005B0534"/>
    <w:rsid w:val="005B450F"/>
    <w:rsid w:val="005B6617"/>
    <w:rsid w:val="005C005B"/>
    <w:rsid w:val="005C0B91"/>
    <w:rsid w:val="005D486A"/>
    <w:rsid w:val="005E1AEC"/>
    <w:rsid w:val="005E1C2E"/>
    <w:rsid w:val="005E49C2"/>
    <w:rsid w:val="005E74C7"/>
    <w:rsid w:val="005F11F7"/>
    <w:rsid w:val="005F1789"/>
    <w:rsid w:val="005F29A7"/>
    <w:rsid w:val="005F3949"/>
    <w:rsid w:val="005F4F44"/>
    <w:rsid w:val="005F5FD5"/>
    <w:rsid w:val="00602056"/>
    <w:rsid w:val="00603C34"/>
    <w:rsid w:val="0060659D"/>
    <w:rsid w:val="00612C20"/>
    <w:rsid w:val="00612F61"/>
    <w:rsid w:val="006160F4"/>
    <w:rsid w:val="00616131"/>
    <w:rsid w:val="0062082A"/>
    <w:rsid w:val="0062281D"/>
    <w:rsid w:val="00623B77"/>
    <w:rsid w:val="00635E62"/>
    <w:rsid w:val="006414FB"/>
    <w:rsid w:val="00647A1F"/>
    <w:rsid w:val="006501AF"/>
    <w:rsid w:val="00652129"/>
    <w:rsid w:val="00652906"/>
    <w:rsid w:val="00653237"/>
    <w:rsid w:val="0065679D"/>
    <w:rsid w:val="0066529A"/>
    <w:rsid w:val="00665B18"/>
    <w:rsid w:val="0067136B"/>
    <w:rsid w:val="00673B9A"/>
    <w:rsid w:val="00673C48"/>
    <w:rsid w:val="00674808"/>
    <w:rsid w:val="0067497E"/>
    <w:rsid w:val="0068569F"/>
    <w:rsid w:val="00685E66"/>
    <w:rsid w:val="0068747E"/>
    <w:rsid w:val="006956E1"/>
    <w:rsid w:val="00696D9B"/>
    <w:rsid w:val="006A0BC3"/>
    <w:rsid w:val="006A4E75"/>
    <w:rsid w:val="006A60A2"/>
    <w:rsid w:val="006A79DF"/>
    <w:rsid w:val="006B0D72"/>
    <w:rsid w:val="006B3D43"/>
    <w:rsid w:val="006B4B0A"/>
    <w:rsid w:val="006B659F"/>
    <w:rsid w:val="006C38E4"/>
    <w:rsid w:val="006C4658"/>
    <w:rsid w:val="006C4E3F"/>
    <w:rsid w:val="006C7B0E"/>
    <w:rsid w:val="006D00DF"/>
    <w:rsid w:val="006D06E9"/>
    <w:rsid w:val="006D0B99"/>
    <w:rsid w:val="006D20B4"/>
    <w:rsid w:val="006D41D6"/>
    <w:rsid w:val="006D518B"/>
    <w:rsid w:val="006E6090"/>
    <w:rsid w:val="006E7AFC"/>
    <w:rsid w:val="006F4A31"/>
    <w:rsid w:val="00711CD9"/>
    <w:rsid w:val="00712736"/>
    <w:rsid w:val="00716F04"/>
    <w:rsid w:val="00721DEE"/>
    <w:rsid w:val="0073309F"/>
    <w:rsid w:val="00733203"/>
    <w:rsid w:val="00735B3C"/>
    <w:rsid w:val="007438D6"/>
    <w:rsid w:val="00744A72"/>
    <w:rsid w:val="00744EA2"/>
    <w:rsid w:val="0075186D"/>
    <w:rsid w:val="00763336"/>
    <w:rsid w:val="0076570D"/>
    <w:rsid w:val="00766ABF"/>
    <w:rsid w:val="00767F80"/>
    <w:rsid w:val="007713E6"/>
    <w:rsid w:val="007714E6"/>
    <w:rsid w:val="00775575"/>
    <w:rsid w:val="00775C5D"/>
    <w:rsid w:val="007828A1"/>
    <w:rsid w:val="00782B4E"/>
    <w:rsid w:val="0079786E"/>
    <w:rsid w:val="007A0773"/>
    <w:rsid w:val="007A1A50"/>
    <w:rsid w:val="007B062F"/>
    <w:rsid w:val="007B07B5"/>
    <w:rsid w:val="007B1B21"/>
    <w:rsid w:val="007B615F"/>
    <w:rsid w:val="007B63B4"/>
    <w:rsid w:val="007B67BC"/>
    <w:rsid w:val="007C5986"/>
    <w:rsid w:val="007C6599"/>
    <w:rsid w:val="007D0B34"/>
    <w:rsid w:val="007D1FBA"/>
    <w:rsid w:val="007E4195"/>
    <w:rsid w:val="007E4943"/>
    <w:rsid w:val="007E5993"/>
    <w:rsid w:val="007E76F7"/>
    <w:rsid w:val="007F2A50"/>
    <w:rsid w:val="008003BE"/>
    <w:rsid w:val="008018A1"/>
    <w:rsid w:val="008022AE"/>
    <w:rsid w:val="00805077"/>
    <w:rsid w:val="0080515E"/>
    <w:rsid w:val="00806099"/>
    <w:rsid w:val="008147CC"/>
    <w:rsid w:val="008239F8"/>
    <w:rsid w:val="00830A2A"/>
    <w:rsid w:val="00833B7C"/>
    <w:rsid w:val="008340DA"/>
    <w:rsid w:val="008347DA"/>
    <w:rsid w:val="00835905"/>
    <w:rsid w:val="00836479"/>
    <w:rsid w:val="0084454E"/>
    <w:rsid w:val="008465A8"/>
    <w:rsid w:val="0085427A"/>
    <w:rsid w:val="00856447"/>
    <w:rsid w:val="0085685D"/>
    <w:rsid w:val="00866F6E"/>
    <w:rsid w:val="008677FF"/>
    <w:rsid w:val="00867CC3"/>
    <w:rsid w:val="00871C48"/>
    <w:rsid w:val="00873C93"/>
    <w:rsid w:val="0088266D"/>
    <w:rsid w:val="0088389C"/>
    <w:rsid w:val="00887ED7"/>
    <w:rsid w:val="00890D16"/>
    <w:rsid w:val="00892BA8"/>
    <w:rsid w:val="00892FE9"/>
    <w:rsid w:val="00893850"/>
    <w:rsid w:val="00897077"/>
    <w:rsid w:val="008A0090"/>
    <w:rsid w:val="008A27DD"/>
    <w:rsid w:val="008B161C"/>
    <w:rsid w:val="008B54F5"/>
    <w:rsid w:val="008C07E5"/>
    <w:rsid w:val="008C1770"/>
    <w:rsid w:val="008C28A9"/>
    <w:rsid w:val="008C4451"/>
    <w:rsid w:val="008D0669"/>
    <w:rsid w:val="008E66A2"/>
    <w:rsid w:val="008E7E5C"/>
    <w:rsid w:val="008F7062"/>
    <w:rsid w:val="009023AF"/>
    <w:rsid w:val="00905C6A"/>
    <w:rsid w:val="00905EAA"/>
    <w:rsid w:val="0090698D"/>
    <w:rsid w:val="0091595F"/>
    <w:rsid w:val="0092376A"/>
    <w:rsid w:val="009239C4"/>
    <w:rsid w:val="009256D5"/>
    <w:rsid w:val="00931659"/>
    <w:rsid w:val="00934BD6"/>
    <w:rsid w:val="00941C3F"/>
    <w:rsid w:val="009448DD"/>
    <w:rsid w:val="00944D00"/>
    <w:rsid w:val="00951529"/>
    <w:rsid w:val="00952CEF"/>
    <w:rsid w:val="009534B2"/>
    <w:rsid w:val="00954D86"/>
    <w:rsid w:val="00957E70"/>
    <w:rsid w:val="00960E3C"/>
    <w:rsid w:val="009704AC"/>
    <w:rsid w:val="00970A5F"/>
    <w:rsid w:val="00973C1C"/>
    <w:rsid w:val="00976FBA"/>
    <w:rsid w:val="00980B9F"/>
    <w:rsid w:val="00986015"/>
    <w:rsid w:val="00987CB8"/>
    <w:rsid w:val="009A04B8"/>
    <w:rsid w:val="009B1E2C"/>
    <w:rsid w:val="009B38B2"/>
    <w:rsid w:val="009C12F7"/>
    <w:rsid w:val="009C5E1B"/>
    <w:rsid w:val="009C6D35"/>
    <w:rsid w:val="009D557A"/>
    <w:rsid w:val="009E0EDB"/>
    <w:rsid w:val="009E38E4"/>
    <w:rsid w:val="009E3A92"/>
    <w:rsid w:val="009E64E9"/>
    <w:rsid w:val="009E6FAB"/>
    <w:rsid w:val="009F0779"/>
    <w:rsid w:val="009F1128"/>
    <w:rsid w:val="009F13D7"/>
    <w:rsid w:val="009F13EF"/>
    <w:rsid w:val="009F143C"/>
    <w:rsid w:val="009F4945"/>
    <w:rsid w:val="009F5E29"/>
    <w:rsid w:val="00A021AF"/>
    <w:rsid w:val="00A045F8"/>
    <w:rsid w:val="00A06CBD"/>
    <w:rsid w:val="00A112EB"/>
    <w:rsid w:val="00A13BB0"/>
    <w:rsid w:val="00A13F90"/>
    <w:rsid w:val="00A14428"/>
    <w:rsid w:val="00A149C2"/>
    <w:rsid w:val="00A15713"/>
    <w:rsid w:val="00A16233"/>
    <w:rsid w:val="00A24271"/>
    <w:rsid w:val="00A25948"/>
    <w:rsid w:val="00A27B55"/>
    <w:rsid w:val="00A4204C"/>
    <w:rsid w:val="00A4297D"/>
    <w:rsid w:val="00A42AF4"/>
    <w:rsid w:val="00A45036"/>
    <w:rsid w:val="00A456A8"/>
    <w:rsid w:val="00A533BC"/>
    <w:rsid w:val="00A53770"/>
    <w:rsid w:val="00A54FF5"/>
    <w:rsid w:val="00A56153"/>
    <w:rsid w:val="00A56E87"/>
    <w:rsid w:val="00A57917"/>
    <w:rsid w:val="00A62948"/>
    <w:rsid w:val="00A62A34"/>
    <w:rsid w:val="00A63E2A"/>
    <w:rsid w:val="00A70D12"/>
    <w:rsid w:val="00A70FD7"/>
    <w:rsid w:val="00A730AF"/>
    <w:rsid w:val="00A76717"/>
    <w:rsid w:val="00A86199"/>
    <w:rsid w:val="00A86DF0"/>
    <w:rsid w:val="00A87792"/>
    <w:rsid w:val="00A914D4"/>
    <w:rsid w:val="00A94914"/>
    <w:rsid w:val="00A96CDC"/>
    <w:rsid w:val="00AA2F58"/>
    <w:rsid w:val="00AB2BAE"/>
    <w:rsid w:val="00AB39C7"/>
    <w:rsid w:val="00AB58E6"/>
    <w:rsid w:val="00AB7FE8"/>
    <w:rsid w:val="00AC055D"/>
    <w:rsid w:val="00AC23A0"/>
    <w:rsid w:val="00AC3402"/>
    <w:rsid w:val="00AC4C82"/>
    <w:rsid w:val="00AC5836"/>
    <w:rsid w:val="00AD2A64"/>
    <w:rsid w:val="00AD3E81"/>
    <w:rsid w:val="00AD4938"/>
    <w:rsid w:val="00AE1368"/>
    <w:rsid w:val="00AE33B3"/>
    <w:rsid w:val="00AE4981"/>
    <w:rsid w:val="00AE69DE"/>
    <w:rsid w:val="00AE7145"/>
    <w:rsid w:val="00AF35E8"/>
    <w:rsid w:val="00B0092B"/>
    <w:rsid w:val="00B015CE"/>
    <w:rsid w:val="00B02603"/>
    <w:rsid w:val="00B04E46"/>
    <w:rsid w:val="00B06447"/>
    <w:rsid w:val="00B0713D"/>
    <w:rsid w:val="00B12494"/>
    <w:rsid w:val="00B14338"/>
    <w:rsid w:val="00B16FD1"/>
    <w:rsid w:val="00B26700"/>
    <w:rsid w:val="00B26BD3"/>
    <w:rsid w:val="00B47B33"/>
    <w:rsid w:val="00B503E0"/>
    <w:rsid w:val="00B55162"/>
    <w:rsid w:val="00B62796"/>
    <w:rsid w:val="00B650EF"/>
    <w:rsid w:val="00B6561F"/>
    <w:rsid w:val="00B677D2"/>
    <w:rsid w:val="00B708D2"/>
    <w:rsid w:val="00B726B6"/>
    <w:rsid w:val="00B733E6"/>
    <w:rsid w:val="00B74947"/>
    <w:rsid w:val="00B75EA0"/>
    <w:rsid w:val="00B84614"/>
    <w:rsid w:val="00B86065"/>
    <w:rsid w:val="00B866D9"/>
    <w:rsid w:val="00B875C2"/>
    <w:rsid w:val="00B918CA"/>
    <w:rsid w:val="00B92173"/>
    <w:rsid w:val="00B92B6C"/>
    <w:rsid w:val="00BA2230"/>
    <w:rsid w:val="00BA3893"/>
    <w:rsid w:val="00BB2B85"/>
    <w:rsid w:val="00BB3F07"/>
    <w:rsid w:val="00BB4B41"/>
    <w:rsid w:val="00BC17B3"/>
    <w:rsid w:val="00BC5E54"/>
    <w:rsid w:val="00BC7E50"/>
    <w:rsid w:val="00BD198B"/>
    <w:rsid w:val="00BD1A84"/>
    <w:rsid w:val="00BD6704"/>
    <w:rsid w:val="00BD6DD9"/>
    <w:rsid w:val="00BE385F"/>
    <w:rsid w:val="00BE466D"/>
    <w:rsid w:val="00BE47E5"/>
    <w:rsid w:val="00BE57E2"/>
    <w:rsid w:val="00BE5DC0"/>
    <w:rsid w:val="00BE7D92"/>
    <w:rsid w:val="00BF50C0"/>
    <w:rsid w:val="00BF66B4"/>
    <w:rsid w:val="00C0561F"/>
    <w:rsid w:val="00C072C8"/>
    <w:rsid w:val="00C13D7D"/>
    <w:rsid w:val="00C167F8"/>
    <w:rsid w:val="00C23073"/>
    <w:rsid w:val="00C23403"/>
    <w:rsid w:val="00C3273D"/>
    <w:rsid w:val="00C3580A"/>
    <w:rsid w:val="00C35E95"/>
    <w:rsid w:val="00C4379A"/>
    <w:rsid w:val="00C5736F"/>
    <w:rsid w:val="00C57A18"/>
    <w:rsid w:val="00C61AA1"/>
    <w:rsid w:val="00C64897"/>
    <w:rsid w:val="00C651C7"/>
    <w:rsid w:val="00C65583"/>
    <w:rsid w:val="00C65663"/>
    <w:rsid w:val="00C70DEF"/>
    <w:rsid w:val="00C74F5C"/>
    <w:rsid w:val="00C81722"/>
    <w:rsid w:val="00C81E19"/>
    <w:rsid w:val="00C83C80"/>
    <w:rsid w:val="00C911B2"/>
    <w:rsid w:val="00C932C5"/>
    <w:rsid w:val="00C93731"/>
    <w:rsid w:val="00C9527B"/>
    <w:rsid w:val="00CA006B"/>
    <w:rsid w:val="00CB14B4"/>
    <w:rsid w:val="00CB1A20"/>
    <w:rsid w:val="00CB3C31"/>
    <w:rsid w:val="00CB5A7B"/>
    <w:rsid w:val="00CB6CEE"/>
    <w:rsid w:val="00CB75E8"/>
    <w:rsid w:val="00CB7F78"/>
    <w:rsid w:val="00CC3031"/>
    <w:rsid w:val="00CC3A33"/>
    <w:rsid w:val="00CC4316"/>
    <w:rsid w:val="00CC57C7"/>
    <w:rsid w:val="00CC5AFC"/>
    <w:rsid w:val="00CC5F85"/>
    <w:rsid w:val="00CC69B2"/>
    <w:rsid w:val="00CD08E9"/>
    <w:rsid w:val="00CD1264"/>
    <w:rsid w:val="00CD3FA9"/>
    <w:rsid w:val="00CD3FFB"/>
    <w:rsid w:val="00CD7668"/>
    <w:rsid w:val="00CE1201"/>
    <w:rsid w:val="00CE163D"/>
    <w:rsid w:val="00CE6D66"/>
    <w:rsid w:val="00CE7652"/>
    <w:rsid w:val="00CF15B8"/>
    <w:rsid w:val="00CF172F"/>
    <w:rsid w:val="00CF5128"/>
    <w:rsid w:val="00D032BB"/>
    <w:rsid w:val="00D10A8B"/>
    <w:rsid w:val="00D11B6C"/>
    <w:rsid w:val="00D14D22"/>
    <w:rsid w:val="00D151E4"/>
    <w:rsid w:val="00D156CD"/>
    <w:rsid w:val="00D15AE2"/>
    <w:rsid w:val="00D218D0"/>
    <w:rsid w:val="00D2269A"/>
    <w:rsid w:val="00D22EF7"/>
    <w:rsid w:val="00D26DD1"/>
    <w:rsid w:val="00D34509"/>
    <w:rsid w:val="00D456B2"/>
    <w:rsid w:val="00D46E1C"/>
    <w:rsid w:val="00D500DE"/>
    <w:rsid w:val="00D618F0"/>
    <w:rsid w:val="00D63C28"/>
    <w:rsid w:val="00D674C2"/>
    <w:rsid w:val="00D73607"/>
    <w:rsid w:val="00D737D8"/>
    <w:rsid w:val="00D74A75"/>
    <w:rsid w:val="00D76739"/>
    <w:rsid w:val="00D810C4"/>
    <w:rsid w:val="00D82431"/>
    <w:rsid w:val="00D87C8D"/>
    <w:rsid w:val="00D936FE"/>
    <w:rsid w:val="00D94613"/>
    <w:rsid w:val="00D95CB4"/>
    <w:rsid w:val="00D96AD1"/>
    <w:rsid w:val="00D9793A"/>
    <w:rsid w:val="00DB178F"/>
    <w:rsid w:val="00DB35C2"/>
    <w:rsid w:val="00DB398F"/>
    <w:rsid w:val="00DB4A78"/>
    <w:rsid w:val="00DB51EF"/>
    <w:rsid w:val="00DB6519"/>
    <w:rsid w:val="00DC01C4"/>
    <w:rsid w:val="00DC2D4F"/>
    <w:rsid w:val="00DC7FE0"/>
    <w:rsid w:val="00DD0A94"/>
    <w:rsid w:val="00DD0FCF"/>
    <w:rsid w:val="00DD3398"/>
    <w:rsid w:val="00DD3C4E"/>
    <w:rsid w:val="00DD45E1"/>
    <w:rsid w:val="00DD5A23"/>
    <w:rsid w:val="00DE4A8C"/>
    <w:rsid w:val="00DE56A4"/>
    <w:rsid w:val="00DF18CF"/>
    <w:rsid w:val="00DF5FA2"/>
    <w:rsid w:val="00DF6EBC"/>
    <w:rsid w:val="00DF75E8"/>
    <w:rsid w:val="00DF798C"/>
    <w:rsid w:val="00E028CC"/>
    <w:rsid w:val="00E047A8"/>
    <w:rsid w:val="00E04953"/>
    <w:rsid w:val="00E20373"/>
    <w:rsid w:val="00E20697"/>
    <w:rsid w:val="00E222EE"/>
    <w:rsid w:val="00E25B0C"/>
    <w:rsid w:val="00E32C0B"/>
    <w:rsid w:val="00E33038"/>
    <w:rsid w:val="00E369AD"/>
    <w:rsid w:val="00E40C51"/>
    <w:rsid w:val="00E474C2"/>
    <w:rsid w:val="00E5101E"/>
    <w:rsid w:val="00E51C92"/>
    <w:rsid w:val="00E51F27"/>
    <w:rsid w:val="00E528F4"/>
    <w:rsid w:val="00E55A2A"/>
    <w:rsid w:val="00E55D12"/>
    <w:rsid w:val="00E57D63"/>
    <w:rsid w:val="00E66489"/>
    <w:rsid w:val="00E756A3"/>
    <w:rsid w:val="00E767AF"/>
    <w:rsid w:val="00E82584"/>
    <w:rsid w:val="00E85F30"/>
    <w:rsid w:val="00E92267"/>
    <w:rsid w:val="00E947F7"/>
    <w:rsid w:val="00EA07FF"/>
    <w:rsid w:val="00EA1D7B"/>
    <w:rsid w:val="00EA318E"/>
    <w:rsid w:val="00EA3339"/>
    <w:rsid w:val="00EA3420"/>
    <w:rsid w:val="00EA75B4"/>
    <w:rsid w:val="00EB0E21"/>
    <w:rsid w:val="00EB29CD"/>
    <w:rsid w:val="00EB5F7F"/>
    <w:rsid w:val="00EC14F6"/>
    <w:rsid w:val="00EC161A"/>
    <w:rsid w:val="00EC35C0"/>
    <w:rsid w:val="00ED06D8"/>
    <w:rsid w:val="00ED169A"/>
    <w:rsid w:val="00ED5169"/>
    <w:rsid w:val="00EE3D41"/>
    <w:rsid w:val="00EE4097"/>
    <w:rsid w:val="00EF2F35"/>
    <w:rsid w:val="00EF7081"/>
    <w:rsid w:val="00F05E0A"/>
    <w:rsid w:val="00F063FA"/>
    <w:rsid w:val="00F0771F"/>
    <w:rsid w:val="00F078D7"/>
    <w:rsid w:val="00F1043C"/>
    <w:rsid w:val="00F1209F"/>
    <w:rsid w:val="00F30F04"/>
    <w:rsid w:val="00F36EA1"/>
    <w:rsid w:val="00F37429"/>
    <w:rsid w:val="00F37445"/>
    <w:rsid w:val="00F4056C"/>
    <w:rsid w:val="00F426B7"/>
    <w:rsid w:val="00F42F2C"/>
    <w:rsid w:val="00F437BE"/>
    <w:rsid w:val="00F46CDF"/>
    <w:rsid w:val="00F51E54"/>
    <w:rsid w:val="00F54254"/>
    <w:rsid w:val="00F62356"/>
    <w:rsid w:val="00F62FBF"/>
    <w:rsid w:val="00F639EE"/>
    <w:rsid w:val="00F727BC"/>
    <w:rsid w:val="00F75F9C"/>
    <w:rsid w:val="00F82757"/>
    <w:rsid w:val="00F84A67"/>
    <w:rsid w:val="00F94057"/>
    <w:rsid w:val="00F94C6E"/>
    <w:rsid w:val="00F961AF"/>
    <w:rsid w:val="00FA27B3"/>
    <w:rsid w:val="00FB1A19"/>
    <w:rsid w:val="00FB2BDC"/>
    <w:rsid w:val="00FB682A"/>
    <w:rsid w:val="00FB7245"/>
    <w:rsid w:val="00FB734C"/>
    <w:rsid w:val="00FC13BB"/>
    <w:rsid w:val="00FC20D2"/>
    <w:rsid w:val="00FC7AA7"/>
    <w:rsid w:val="00FD16F9"/>
    <w:rsid w:val="00FE0138"/>
    <w:rsid w:val="00FF3122"/>
    <w:rsid w:val="00FF42E7"/>
    <w:rsid w:val="00FF6D78"/>
    <w:rsid w:val="00FF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ACB66"/>
  <w15:chartTrackingRefBased/>
  <w15:docId w15:val="{F9AC4AD4-A585-467E-B557-7D3EFEB6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B4E"/>
  </w:style>
  <w:style w:type="paragraph" w:styleId="Footer">
    <w:name w:val="footer"/>
    <w:basedOn w:val="Normal"/>
    <w:link w:val="FooterChar"/>
    <w:uiPriority w:val="99"/>
    <w:unhideWhenUsed/>
    <w:rsid w:val="00782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B4E"/>
  </w:style>
  <w:style w:type="paragraph" w:styleId="BalloonText">
    <w:name w:val="Balloon Text"/>
    <w:basedOn w:val="Normal"/>
    <w:link w:val="BalloonTextChar"/>
    <w:uiPriority w:val="99"/>
    <w:semiHidden/>
    <w:unhideWhenUsed/>
    <w:rsid w:val="00CD7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668"/>
    <w:rPr>
      <w:rFonts w:ascii="Segoe UI" w:hAnsi="Segoe UI" w:cs="Segoe UI"/>
      <w:sz w:val="18"/>
      <w:szCs w:val="18"/>
    </w:rPr>
  </w:style>
  <w:style w:type="paragraph" w:styleId="ListParagraph">
    <w:name w:val="List Paragraph"/>
    <w:basedOn w:val="Normal"/>
    <w:uiPriority w:val="34"/>
    <w:qFormat/>
    <w:rsid w:val="001E2198"/>
    <w:pPr>
      <w:ind w:left="720"/>
      <w:contextualSpacing/>
    </w:pPr>
  </w:style>
  <w:style w:type="character" w:styleId="CommentReference">
    <w:name w:val="annotation reference"/>
    <w:basedOn w:val="DefaultParagraphFont"/>
    <w:uiPriority w:val="99"/>
    <w:semiHidden/>
    <w:unhideWhenUsed/>
    <w:rsid w:val="000C420C"/>
    <w:rPr>
      <w:sz w:val="16"/>
      <w:szCs w:val="16"/>
    </w:rPr>
  </w:style>
  <w:style w:type="paragraph" w:styleId="CommentText">
    <w:name w:val="annotation text"/>
    <w:basedOn w:val="Normal"/>
    <w:link w:val="CommentTextChar"/>
    <w:uiPriority w:val="99"/>
    <w:semiHidden/>
    <w:unhideWhenUsed/>
    <w:rsid w:val="000C420C"/>
    <w:pPr>
      <w:spacing w:line="240" w:lineRule="auto"/>
    </w:pPr>
    <w:rPr>
      <w:sz w:val="20"/>
      <w:szCs w:val="20"/>
    </w:rPr>
  </w:style>
  <w:style w:type="character" w:customStyle="1" w:styleId="CommentTextChar">
    <w:name w:val="Comment Text Char"/>
    <w:basedOn w:val="DefaultParagraphFont"/>
    <w:link w:val="CommentText"/>
    <w:uiPriority w:val="99"/>
    <w:semiHidden/>
    <w:rsid w:val="000C420C"/>
    <w:rPr>
      <w:sz w:val="20"/>
      <w:szCs w:val="20"/>
    </w:rPr>
  </w:style>
  <w:style w:type="paragraph" w:styleId="CommentSubject">
    <w:name w:val="annotation subject"/>
    <w:basedOn w:val="CommentText"/>
    <w:next w:val="CommentText"/>
    <w:link w:val="CommentSubjectChar"/>
    <w:uiPriority w:val="99"/>
    <w:semiHidden/>
    <w:unhideWhenUsed/>
    <w:rsid w:val="000C420C"/>
    <w:rPr>
      <w:b/>
      <w:bCs/>
    </w:rPr>
  </w:style>
  <w:style w:type="character" w:customStyle="1" w:styleId="CommentSubjectChar">
    <w:name w:val="Comment Subject Char"/>
    <w:basedOn w:val="CommentTextChar"/>
    <w:link w:val="CommentSubject"/>
    <w:uiPriority w:val="99"/>
    <w:semiHidden/>
    <w:rsid w:val="000C420C"/>
    <w:rPr>
      <w:b/>
      <w:bCs/>
      <w:sz w:val="20"/>
      <w:szCs w:val="20"/>
    </w:rPr>
  </w:style>
  <w:style w:type="paragraph" w:styleId="NoSpacing">
    <w:name w:val="No Spacing"/>
    <w:uiPriority w:val="1"/>
    <w:qFormat/>
    <w:rsid w:val="002E4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3908">
      <w:bodyDiv w:val="1"/>
      <w:marLeft w:val="0"/>
      <w:marRight w:val="0"/>
      <w:marTop w:val="0"/>
      <w:marBottom w:val="0"/>
      <w:divBdr>
        <w:top w:val="none" w:sz="0" w:space="0" w:color="auto"/>
        <w:left w:val="none" w:sz="0" w:space="0" w:color="auto"/>
        <w:bottom w:val="none" w:sz="0" w:space="0" w:color="auto"/>
        <w:right w:val="none" w:sz="0" w:space="0" w:color="auto"/>
      </w:divBdr>
    </w:div>
    <w:div w:id="279343481">
      <w:bodyDiv w:val="1"/>
      <w:marLeft w:val="0"/>
      <w:marRight w:val="0"/>
      <w:marTop w:val="0"/>
      <w:marBottom w:val="0"/>
      <w:divBdr>
        <w:top w:val="none" w:sz="0" w:space="0" w:color="auto"/>
        <w:left w:val="none" w:sz="0" w:space="0" w:color="auto"/>
        <w:bottom w:val="none" w:sz="0" w:space="0" w:color="auto"/>
        <w:right w:val="none" w:sz="0" w:space="0" w:color="auto"/>
      </w:divBdr>
    </w:div>
    <w:div w:id="519005835">
      <w:bodyDiv w:val="1"/>
      <w:marLeft w:val="0"/>
      <w:marRight w:val="0"/>
      <w:marTop w:val="0"/>
      <w:marBottom w:val="0"/>
      <w:divBdr>
        <w:top w:val="none" w:sz="0" w:space="0" w:color="auto"/>
        <w:left w:val="none" w:sz="0" w:space="0" w:color="auto"/>
        <w:bottom w:val="none" w:sz="0" w:space="0" w:color="auto"/>
        <w:right w:val="none" w:sz="0" w:space="0" w:color="auto"/>
      </w:divBdr>
    </w:div>
    <w:div w:id="569854398">
      <w:bodyDiv w:val="1"/>
      <w:marLeft w:val="0"/>
      <w:marRight w:val="0"/>
      <w:marTop w:val="0"/>
      <w:marBottom w:val="0"/>
      <w:divBdr>
        <w:top w:val="none" w:sz="0" w:space="0" w:color="auto"/>
        <w:left w:val="none" w:sz="0" w:space="0" w:color="auto"/>
        <w:bottom w:val="none" w:sz="0" w:space="0" w:color="auto"/>
        <w:right w:val="none" w:sz="0" w:space="0" w:color="auto"/>
      </w:divBdr>
    </w:div>
    <w:div w:id="576864777">
      <w:bodyDiv w:val="1"/>
      <w:marLeft w:val="0"/>
      <w:marRight w:val="0"/>
      <w:marTop w:val="0"/>
      <w:marBottom w:val="0"/>
      <w:divBdr>
        <w:top w:val="none" w:sz="0" w:space="0" w:color="auto"/>
        <w:left w:val="none" w:sz="0" w:space="0" w:color="auto"/>
        <w:bottom w:val="none" w:sz="0" w:space="0" w:color="auto"/>
        <w:right w:val="none" w:sz="0" w:space="0" w:color="auto"/>
      </w:divBdr>
    </w:div>
    <w:div w:id="606816098">
      <w:bodyDiv w:val="1"/>
      <w:marLeft w:val="0"/>
      <w:marRight w:val="0"/>
      <w:marTop w:val="0"/>
      <w:marBottom w:val="0"/>
      <w:divBdr>
        <w:top w:val="none" w:sz="0" w:space="0" w:color="auto"/>
        <w:left w:val="none" w:sz="0" w:space="0" w:color="auto"/>
        <w:bottom w:val="none" w:sz="0" w:space="0" w:color="auto"/>
        <w:right w:val="none" w:sz="0" w:space="0" w:color="auto"/>
      </w:divBdr>
    </w:div>
    <w:div w:id="811868870">
      <w:bodyDiv w:val="1"/>
      <w:marLeft w:val="0"/>
      <w:marRight w:val="0"/>
      <w:marTop w:val="0"/>
      <w:marBottom w:val="0"/>
      <w:divBdr>
        <w:top w:val="none" w:sz="0" w:space="0" w:color="auto"/>
        <w:left w:val="none" w:sz="0" w:space="0" w:color="auto"/>
        <w:bottom w:val="none" w:sz="0" w:space="0" w:color="auto"/>
        <w:right w:val="none" w:sz="0" w:space="0" w:color="auto"/>
      </w:divBdr>
    </w:div>
    <w:div w:id="900292575">
      <w:bodyDiv w:val="1"/>
      <w:marLeft w:val="0"/>
      <w:marRight w:val="0"/>
      <w:marTop w:val="0"/>
      <w:marBottom w:val="0"/>
      <w:divBdr>
        <w:top w:val="none" w:sz="0" w:space="0" w:color="auto"/>
        <w:left w:val="none" w:sz="0" w:space="0" w:color="auto"/>
        <w:bottom w:val="none" w:sz="0" w:space="0" w:color="auto"/>
        <w:right w:val="none" w:sz="0" w:space="0" w:color="auto"/>
      </w:divBdr>
    </w:div>
    <w:div w:id="928195177">
      <w:bodyDiv w:val="1"/>
      <w:marLeft w:val="0"/>
      <w:marRight w:val="0"/>
      <w:marTop w:val="0"/>
      <w:marBottom w:val="0"/>
      <w:divBdr>
        <w:top w:val="none" w:sz="0" w:space="0" w:color="auto"/>
        <w:left w:val="none" w:sz="0" w:space="0" w:color="auto"/>
        <w:bottom w:val="none" w:sz="0" w:space="0" w:color="auto"/>
        <w:right w:val="none" w:sz="0" w:space="0" w:color="auto"/>
      </w:divBdr>
    </w:div>
    <w:div w:id="1038316476">
      <w:bodyDiv w:val="1"/>
      <w:marLeft w:val="0"/>
      <w:marRight w:val="0"/>
      <w:marTop w:val="0"/>
      <w:marBottom w:val="0"/>
      <w:divBdr>
        <w:top w:val="none" w:sz="0" w:space="0" w:color="auto"/>
        <w:left w:val="none" w:sz="0" w:space="0" w:color="auto"/>
        <w:bottom w:val="none" w:sz="0" w:space="0" w:color="auto"/>
        <w:right w:val="none" w:sz="0" w:space="0" w:color="auto"/>
      </w:divBdr>
    </w:div>
    <w:div w:id="1072854891">
      <w:bodyDiv w:val="1"/>
      <w:marLeft w:val="0"/>
      <w:marRight w:val="0"/>
      <w:marTop w:val="0"/>
      <w:marBottom w:val="0"/>
      <w:divBdr>
        <w:top w:val="none" w:sz="0" w:space="0" w:color="auto"/>
        <w:left w:val="none" w:sz="0" w:space="0" w:color="auto"/>
        <w:bottom w:val="none" w:sz="0" w:space="0" w:color="auto"/>
        <w:right w:val="none" w:sz="0" w:space="0" w:color="auto"/>
      </w:divBdr>
    </w:div>
    <w:div w:id="1290626384">
      <w:bodyDiv w:val="1"/>
      <w:marLeft w:val="0"/>
      <w:marRight w:val="0"/>
      <w:marTop w:val="0"/>
      <w:marBottom w:val="0"/>
      <w:divBdr>
        <w:top w:val="none" w:sz="0" w:space="0" w:color="auto"/>
        <w:left w:val="none" w:sz="0" w:space="0" w:color="auto"/>
        <w:bottom w:val="none" w:sz="0" w:space="0" w:color="auto"/>
        <w:right w:val="none" w:sz="0" w:space="0" w:color="auto"/>
      </w:divBdr>
    </w:div>
    <w:div w:id="1464154466">
      <w:bodyDiv w:val="1"/>
      <w:marLeft w:val="0"/>
      <w:marRight w:val="0"/>
      <w:marTop w:val="0"/>
      <w:marBottom w:val="0"/>
      <w:divBdr>
        <w:top w:val="none" w:sz="0" w:space="0" w:color="auto"/>
        <w:left w:val="none" w:sz="0" w:space="0" w:color="auto"/>
        <w:bottom w:val="none" w:sz="0" w:space="0" w:color="auto"/>
        <w:right w:val="none" w:sz="0" w:space="0" w:color="auto"/>
      </w:divBdr>
    </w:div>
    <w:div w:id="1515998062">
      <w:bodyDiv w:val="1"/>
      <w:marLeft w:val="0"/>
      <w:marRight w:val="0"/>
      <w:marTop w:val="0"/>
      <w:marBottom w:val="0"/>
      <w:divBdr>
        <w:top w:val="none" w:sz="0" w:space="0" w:color="auto"/>
        <w:left w:val="none" w:sz="0" w:space="0" w:color="auto"/>
        <w:bottom w:val="none" w:sz="0" w:space="0" w:color="auto"/>
        <w:right w:val="none" w:sz="0" w:space="0" w:color="auto"/>
      </w:divBdr>
    </w:div>
    <w:div w:id="1522089781">
      <w:bodyDiv w:val="1"/>
      <w:marLeft w:val="0"/>
      <w:marRight w:val="0"/>
      <w:marTop w:val="0"/>
      <w:marBottom w:val="0"/>
      <w:divBdr>
        <w:top w:val="none" w:sz="0" w:space="0" w:color="auto"/>
        <w:left w:val="none" w:sz="0" w:space="0" w:color="auto"/>
        <w:bottom w:val="none" w:sz="0" w:space="0" w:color="auto"/>
        <w:right w:val="none" w:sz="0" w:space="0" w:color="auto"/>
      </w:divBdr>
    </w:div>
    <w:div w:id="1562247672">
      <w:bodyDiv w:val="1"/>
      <w:marLeft w:val="0"/>
      <w:marRight w:val="0"/>
      <w:marTop w:val="0"/>
      <w:marBottom w:val="0"/>
      <w:divBdr>
        <w:top w:val="none" w:sz="0" w:space="0" w:color="auto"/>
        <w:left w:val="none" w:sz="0" w:space="0" w:color="auto"/>
        <w:bottom w:val="none" w:sz="0" w:space="0" w:color="auto"/>
        <w:right w:val="none" w:sz="0" w:space="0" w:color="auto"/>
      </w:divBdr>
    </w:div>
    <w:div w:id="1608467896">
      <w:bodyDiv w:val="1"/>
      <w:marLeft w:val="0"/>
      <w:marRight w:val="0"/>
      <w:marTop w:val="0"/>
      <w:marBottom w:val="0"/>
      <w:divBdr>
        <w:top w:val="none" w:sz="0" w:space="0" w:color="auto"/>
        <w:left w:val="none" w:sz="0" w:space="0" w:color="auto"/>
        <w:bottom w:val="none" w:sz="0" w:space="0" w:color="auto"/>
        <w:right w:val="none" w:sz="0" w:space="0" w:color="auto"/>
      </w:divBdr>
    </w:div>
    <w:div w:id="1634753347">
      <w:bodyDiv w:val="1"/>
      <w:marLeft w:val="0"/>
      <w:marRight w:val="0"/>
      <w:marTop w:val="0"/>
      <w:marBottom w:val="0"/>
      <w:divBdr>
        <w:top w:val="none" w:sz="0" w:space="0" w:color="auto"/>
        <w:left w:val="none" w:sz="0" w:space="0" w:color="auto"/>
        <w:bottom w:val="none" w:sz="0" w:space="0" w:color="auto"/>
        <w:right w:val="none" w:sz="0" w:space="0" w:color="auto"/>
      </w:divBdr>
    </w:div>
    <w:div w:id="1750350869">
      <w:bodyDiv w:val="1"/>
      <w:marLeft w:val="0"/>
      <w:marRight w:val="0"/>
      <w:marTop w:val="0"/>
      <w:marBottom w:val="0"/>
      <w:divBdr>
        <w:top w:val="none" w:sz="0" w:space="0" w:color="auto"/>
        <w:left w:val="none" w:sz="0" w:space="0" w:color="auto"/>
        <w:bottom w:val="none" w:sz="0" w:space="0" w:color="auto"/>
        <w:right w:val="none" w:sz="0" w:space="0" w:color="auto"/>
      </w:divBdr>
    </w:div>
    <w:div w:id="19067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Terri</dc:creator>
  <cp:keywords/>
  <dc:description/>
  <cp:lastModifiedBy>Muffoletto, Jamie</cp:lastModifiedBy>
  <cp:revision>3</cp:revision>
  <cp:lastPrinted>2019-03-25T16:26:00Z</cp:lastPrinted>
  <dcterms:created xsi:type="dcterms:W3CDTF">2023-03-20T17:29:00Z</dcterms:created>
  <dcterms:modified xsi:type="dcterms:W3CDTF">2023-03-20T17:30:00Z</dcterms:modified>
</cp:coreProperties>
</file>