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CD" w:rsidRPr="00A12233" w:rsidRDefault="00345ACD" w:rsidP="00345ACD">
      <w:pPr>
        <w:jc w:val="center"/>
        <w:rPr>
          <w:rFonts w:ascii="Calibri" w:hAnsi="Calibri"/>
          <w:color w:val="FFFFFF" w:themeColor="background1"/>
        </w:rPr>
      </w:pPr>
    </w:p>
    <w:p w:rsidR="00345ACD" w:rsidRPr="00A33B0C" w:rsidRDefault="00345ACD" w:rsidP="00345ACD">
      <w:pPr>
        <w:jc w:val="center"/>
        <w:rPr>
          <w:rFonts w:ascii="Calibri" w:hAnsi="Calibri"/>
        </w:rPr>
      </w:pPr>
    </w:p>
    <w:p w:rsidR="00345ACD" w:rsidRPr="00A33B0C" w:rsidRDefault="00345ACD" w:rsidP="00345ACD">
      <w:pPr>
        <w:jc w:val="center"/>
        <w:rPr>
          <w:rFonts w:ascii="Calibri" w:hAnsi="Calibri"/>
        </w:rPr>
      </w:pPr>
    </w:p>
    <w:p w:rsidR="00345ACD" w:rsidRPr="004E3CD6" w:rsidRDefault="00345ACD" w:rsidP="008230A9">
      <w:pPr>
        <w:pStyle w:val="Titlepgmaincontent"/>
      </w:pPr>
      <w:r w:rsidRPr="004E3CD6">
        <w:t>MASTER SERVICES AGREEMENT</w:t>
      </w:r>
    </w:p>
    <w:p w:rsidR="00345ACD" w:rsidRPr="004E3CD6" w:rsidRDefault="005F23F6" w:rsidP="008230A9">
      <w:pPr>
        <w:pStyle w:val="Titlepgminorcontent"/>
      </w:pPr>
      <w:proofErr w:type="gramStart"/>
      <w:r w:rsidRPr="004E3CD6">
        <w:t>between</w:t>
      </w:r>
      <w:proofErr w:type="gramEnd"/>
    </w:p>
    <w:p w:rsidR="00345ACD" w:rsidRPr="004E3CD6" w:rsidRDefault="00A33B0C" w:rsidP="008230A9">
      <w:pPr>
        <w:pStyle w:val="Titlepgmaincontent"/>
        <w:rPr>
          <w:color w:val="000000"/>
        </w:rPr>
      </w:pPr>
      <w:r w:rsidRPr="004E3CD6">
        <w:t>THE TEXAS EDUCATION AGENCY</w:t>
      </w:r>
    </w:p>
    <w:p w:rsidR="00345ACD" w:rsidRPr="004E3CD6" w:rsidRDefault="00345ACD" w:rsidP="008230A9">
      <w:pPr>
        <w:pStyle w:val="Titlepgminorcontent"/>
      </w:pPr>
      <w:proofErr w:type="gramStart"/>
      <w:r w:rsidRPr="004E3CD6">
        <w:t>and</w:t>
      </w:r>
      <w:proofErr w:type="gramEnd"/>
    </w:p>
    <w:p w:rsidR="005F23F6" w:rsidRPr="004E3CD6" w:rsidRDefault="008710B7" w:rsidP="008230A9">
      <w:pPr>
        <w:pStyle w:val="Titlepgmaincontent"/>
      </w:pPr>
      <w:r w:rsidRPr="004E3CD6">
        <w:t>VENDOR</w:t>
      </w:r>
    </w:p>
    <w:p w:rsidR="005F23F6" w:rsidRPr="004E3CD6" w:rsidRDefault="005F23F6" w:rsidP="008230A9">
      <w:pPr>
        <w:pStyle w:val="Titlepgmaincontent"/>
      </w:pPr>
    </w:p>
    <w:p w:rsidR="00751561" w:rsidRDefault="00751561" w:rsidP="00751561">
      <w:pPr>
        <w:pStyle w:val="Titlepgmaincontent"/>
        <w:spacing w:after="0"/>
      </w:pPr>
      <w:r>
        <w:t>Addendum 7</w:t>
      </w:r>
    </w:p>
    <w:p w:rsidR="00345ACD" w:rsidRPr="004E3CD6" w:rsidRDefault="00641E48" w:rsidP="008230A9">
      <w:pPr>
        <w:pStyle w:val="Titlepgmaincontent"/>
      </w:pPr>
      <w:r>
        <w:t>February 14</w:t>
      </w:r>
      <w:r w:rsidR="00FA367A">
        <w:t xml:space="preserve">, </w:t>
      </w:r>
      <w:r>
        <w:t>2013</w:t>
      </w:r>
    </w:p>
    <w:p w:rsidR="00345ACD" w:rsidRPr="004E3CD6" w:rsidRDefault="00345ACD" w:rsidP="008230A9">
      <w:pPr>
        <w:pStyle w:val="Titlepgmaincontent"/>
      </w:pPr>
    </w:p>
    <w:p w:rsidR="00345ACD" w:rsidRPr="004E3CD6" w:rsidRDefault="00345ACD" w:rsidP="008230A9">
      <w:pPr>
        <w:pStyle w:val="Titlepgmaincontent"/>
      </w:pPr>
    </w:p>
    <w:p w:rsidR="00345ACD" w:rsidRPr="004E3CD6" w:rsidRDefault="00345ACD" w:rsidP="008230A9">
      <w:pPr>
        <w:pStyle w:val="Titlepgmaincontent"/>
      </w:pPr>
      <w:r w:rsidRPr="004E3CD6">
        <w:t xml:space="preserve">EXHIBIT </w:t>
      </w:r>
      <w:r w:rsidR="006B47A0" w:rsidRPr="004E3CD6">
        <w:t>C-1</w:t>
      </w:r>
    </w:p>
    <w:p w:rsidR="00345ACD" w:rsidRPr="004E3CD6" w:rsidRDefault="000E0B04" w:rsidP="008230A9">
      <w:pPr>
        <w:pStyle w:val="Titlepgmaincontent"/>
      </w:pPr>
      <w:r w:rsidRPr="004E3CD6">
        <w:t xml:space="preserve">STATE ADAPTATION </w:t>
      </w:r>
      <w:r w:rsidR="006B47A0" w:rsidRPr="004E3CD6">
        <w:t>COSTS</w:t>
      </w:r>
    </w:p>
    <w:p w:rsidR="00345ACD" w:rsidRPr="004E3CD6" w:rsidRDefault="00345ACD" w:rsidP="00345ACD">
      <w:pPr>
        <w:jc w:val="center"/>
        <w:rPr>
          <w:rFonts w:ascii="Calibri" w:hAnsi="Calibri"/>
        </w:rPr>
      </w:pPr>
    </w:p>
    <w:p w:rsidR="00345ACD" w:rsidRPr="004E3CD6" w:rsidRDefault="00345ACD" w:rsidP="00345ACD">
      <w:pPr>
        <w:jc w:val="both"/>
        <w:rPr>
          <w:rFonts w:ascii="Calibri" w:hAnsi="Calibri"/>
        </w:rPr>
      </w:pPr>
    </w:p>
    <w:p w:rsidR="00345ACD" w:rsidRPr="004E3CD6" w:rsidRDefault="00345ACD" w:rsidP="00345ACD">
      <w:pPr>
        <w:pStyle w:val="Heading00"/>
        <w:spacing w:before="480" w:after="480"/>
        <w:ind w:left="562" w:right="0" w:hanging="562"/>
        <w:jc w:val="center"/>
        <w:rPr>
          <w:rFonts w:ascii="Calibri" w:hAnsi="Calibri"/>
        </w:rPr>
        <w:sectPr w:rsidR="00345ACD" w:rsidRPr="004E3CD6" w:rsidSect="00FD1E79">
          <w:headerReference w:type="default" r:id="rId12"/>
          <w:footerReference w:type="default" r:id="rId13"/>
          <w:pgSz w:w="12240" w:h="15840" w:code="1"/>
          <w:pgMar w:top="1440" w:right="1440" w:bottom="1440" w:left="1440" w:header="720" w:footer="720" w:gutter="0"/>
          <w:paperSrc w:first="258" w:other="258"/>
          <w:cols w:space="720"/>
          <w:titlePg/>
          <w:docGrid w:linePitch="245"/>
        </w:sectPr>
      </w:pPr>
    </w:p>
    <w:p w:rsidR="00B97A77" w:rsidRPr="004E3CD6" w:rsidRDefault="00842D3A" w:rsidP="00236E86">
      <w:pPr>
        <w:pStyle w:val="H1"/>
      </w:pPr>
      <w:bookmarkStart w:id="0" w:name="_Toc294706003"/>
      <w:bookmarkStart w:id="1" w:name="_Toc132178976"/>
      <w:r w:rsidRPr="004E3CD6">
        <w:lastRenderedPageBreak/>
        <w:t xml:space="preserve">State </w:t>
      </w:r>
      <w:r w:rsidR="00691717" w:rsidRPr="004E3CD6">
        <w:t>Adaptation Costs</w:t>
      </w:r>
      <w:bookmarkEnd w:id="0"/>
    </w:p>
    <w:p w:rsidR="00842D3A" w:rsidRPr="004E3CD6" w:rsidRDefault="00842D3A" w:rsidP="00842D3A">
      <w:pPr>
        <w:pStyle w:val="Body"/>
      </w:pPr>
      <w:r w:rsidRPr="004E3CD6">
        <w:t xml:space="preserve">TEA agrees to </w:t>
      </w:r>
      <w:r w:rsidR="00CB10A9" w:rsidRPr="004E3CD6">
        <w:t>fund certain costs outlined in RFO # 701-11-030. Those costs are:</w:t>
      </w:r>
    </w:p>
    <w:p w:rsidR="00842D3A" w:rsidRPr="004E3CD6" w:rsidRDefault="00842D3A" w:rsidP="00CB10A9">
      <w:pPr>
        <w:pStyle w:val="bulletedlist"/>
      </w:pPr>
      <w:r w:rsidRPr="004E3CD6">
        <w:t>Cost related to adaptation of the COTS product(s) to meet the required base configuration</w:t>
      </w:r>
    </w:p>
    <w:p w:rsidR="00842D3A" w:rsidRPr="004E3CD6" w:rsidRDefault="00842D3A" w:rsidP="00CB10A9">
      <w:pPr>
        <w:pStyle w:val="bulletedlist"/>
      </w:pPr>
      <w:r w:rsidRPr="004E3CD6">
        <w:t xml:space="preserve">Cost of any additional required components </w:t>
      </w:r>
    </w:p>
    <w:p w:rsidR="00842D3A" w:rsidRPr="004E3CD6" w:rsidRDefault="00842D3A" w:rsidP="00CB10A9">
      <w:pPr>
        <w:pStyle w:val="bulletedlist"/>
      </w:pPr>
      <w:r w:rsidRPr="004E3CD6">
        <w:t>Cost of all one-time set up charges</w:t>
      </w:r>
    </w:p>
    <w:p w:rsidR="008A5DD3" w:rsidRPr="0084174F" w:rsidRDefault="008A5DD3" w:rsidP="008A5DD3">
      <w:pPr>
        <w:pStyle w:val="H1"/>
      </w:pPr>
      <w:r w:rsidRPr="0084174F">
        <w:t>Vendor Payment Schedule</w:t>
      </w:r>
    </w:p>
    <w:tbl>
      <w:tblPr>
        <w:tblW w:w="5000" w:type="pct"/>
        <w:tblLook w:val="04A0"/>
      </w:tblPr>
      <w:tblGrid>
        <w:gridCol w:w="3919"/>
        <w:gridCol w:w="1104"/>
        <w:gridCol w:w="1117"/>
        <w:gridCol w:w="1718"/>
        <w:gridCol w:w="1718"/>
      </w:tblGrid>
      <w:tr w:rsidR="00502C89" w:rsidRPr="00DF7CD0" w:rsidTr="000B5FB4">
        <w:trPr>
          <w:trHeight w:val="700"/>
          <w:tblHeader/>
        </w:trPr>
        <w:tc>
          <w:tcPr>
            <w:tcW w:w="2046" w:type="pct"/>
            <w:tcBorders>
              <w:top w:val="single" w:sz="8" w:space="0" w:color="auto"/>
              <w:left w:val="single" w:sz="8" w:space="0" w:color="auto"/>
              <w:bottom w:val="single" w:sz="8" w:space="0" w:color="auto"/>
              <w:right w:val="single" w:sz="4" w:space="0" w:color="auto"/>
            </w:tcBorders>
            <w:shd w:val="clear" w:color="auto" w:fill="17365D" w:themeFill="text2" w:themeFillShade="BF"/>
            <w:vAlign w:val="center"/>
            <w:hideMark/>
          </w:tcPr>
          <w:bookmarkEnd w:id="1"/>
          <w:p w:rsidR="0010095D" w:rsidRPr="0010095D" w:rsidRDefault="0010095D" w:rsidP="00D65276">
            <w:pPr>
              <w:jc w:val="center"/>
              <w:rPr>
                <w:rFonts w:cs="Arial"/>
                <w:b/>
                <w:bCs/>
                <w:color w:val="FFFFFF" w:themeColor="background1"/>
                <w:sz w:val="20"/>
              </w:rPr>
            </w:pPr>
            <w:r w:rsidRPr="0010095D">
              <w:rPr>
                <w:rFonts w:cs="Arial"/>
                <w:b/>
                <w:bCs/>
                <w:color w:val="FFFFFF" w:themeColor="background1"/>
                <w:sz w:val="20"/>
              </w:rPr>
              <w:t>Deliverables</w:t>
            </w:r>
          </w:p>
        </w:tc>
        <w:tc>
          <w:tcPr>
            <w:tcW w:w="576" w:type="pct"/>
            <w:tcBorders>
              <w:top w:val="single" w:sz="4" w:space="0" w:color="auto"/>
              <w:left w:val="single" w:sz="4" w:space="0" w:color="auto"/>
              <w:bottom w:val="single" w:sz="4" w:space="0" w:color="auto"/>
              <w:right w:val="single" w:sz="4" w:space="0" w:color="auto"/>
            </w:tcBorders>
            <w:shd w:val="clear" w:color="auto" w:fill="17365D" w:themeFill="text2" w:themeFillShade="BF"/>
          </w:tcPr>
          <w:p w:rsidR="0010095D" w:rsidRPr="0010095D" w:rsidRDefault="0010095D" w:rsidP="0010095D">
            <w:pPr>
              <w:jc w:val="center"/>
              <w:rPr>
                <w:rFonts w:cs="Arial"/>
                <w:b/>
                <w:bCs/>
                <w:color w:val="FFFFFF" w:themeColor="background1"/>
                <w:sz w:val="20"/>
              </w:rPr>
            </w:pPr>
            <w:r w:rsidRPr="0010095D">
              <w:rPr>
                <w:rFonts w:cs="Arial"/>
                <w:b/>
                <w:bCs/>
                <w:color w:val="FFFFFF" w:themeColor="background1"/>
                <w:sz w:val="20"/>
              </w:rPr>
              <w:t>FY 2011</w:t>
            </w:r>
          </w:p>
        </w:tc>
        <w:tc>
          <w:tcPr>
            <w:tcW w:w="583" w:type="pct"/>
            <w:tcBorders>
              <w:top w:val="single" w:sz="8" w:space="0" w:color="auto"/>
              <w:left w:val="single" w:sz="4" w:space="0" w:color="auto"/>
              <w:bottom w:val="single" w:sz="8" w:space="0" w:color="auto"/>
              <w:right w:val="single" w:sz="8" w:space="0" w:color="auto"/>
            </w:tcBorders>
            <w:shd w:val="clear" w:color="auto" w:fill="17365D" w:themeFill="text2" w:themeFillShade="BF"/>
            <w:vAlign w:val="center"/>
            <w:hideMark/>
          </w:tcPr>
          <w:p w:rsidR="0010095D" w:rsidRPr="0010095D" w:rsidRDefault="0010095D" w:rsidP="00D65276">
            <w:pPr>
              <w:jc w:val="center"/>
              <w:rPr>
                <w:rFonts w:cs="Arial"/>
                <w:b/>
                <w:bCs/>
                <w:color w:val="FFFFFF" w:themeColor="background1"/>
                <w:sz w:val="20"/>
              </w:rPr>
            </w:pPr>
            <w:r w:rsidRPr="0010095D">
              <w:rPr>
                <w:rFonts w:cs="Arial"/>
                <w:b/>
                <w:bCs/>
                <w:color w:val="FFFFFF" w:themeColor="background1"/>
                <w:sz w:val="20"/>
              </w:rPr>
              <w:t>FY 2012</w:t>
            </w:r>
          </w:p>
        </w:tc>
        <w:tc>
          <w:tcPr>
            <w:tcW w:w="897" w:type="pct"/>
            <w:tcBorders>
              <w:top w:val="single" w:sz="8" w:space="0" w:color="auto"/>
              <w:left w:val="nil"/>
              <w:bottom w:val="single" w:sz="8" w:space="0" w:color="auto"/>
              <w:right w:val="single" w:sz="8" w:space="0" w:color="auto"/>
            </w:tcBorders>
            <w:shd w:val="clear" w:color="auto" w:fill="17365D" w:themeFill="text2" w:themeFillShade="BF"/>
            <w:vAlign w:val="center"/>
            <w:hideMark/>
          </w:tcPr>
          <w:p w:rsidR="0010095D" w:rsidRPr="0010095D" w:rsidRDefault="0010095D" w:rsidP="00D65276">
            <w:pPr>
              <w:jc w:val="center"/>
              <w:rPr>
                <w:rFonts w:cs="Arial"/>
                <w:b/>
                <w:bCs/>
                <w:color w:val="FFFFFF" w:themeColor="background1"/>
                <w:sz w:val="20"/>
              </w:rPr>
            </w:pPr>
            <w:r w:rsidRPr="0010095D">
              <w:rPr>
                <w:rFonts w:cs="Arial"/>
                <w:b/>
                <w:bCs/>
                <w:color w:val="FFFFFF" w:themeColor="background1"/>
                <w:sz w:val="20"/>
              </w:rPr>
              <w:t>FY 2013</w:t>
            </w:r>
          </w:p>
        </w:tc>
        <w:tc>
          <w:tcPr>
            <w:tcW w:w="897" w:type="pct"/>
            <w:tcBorders>
              <w:top w:val="single" w:sz="8" w:space="0" w:color="auto"/>
              <w:left w:val="nil"/>
              <w:bottom w:val="single" w:sz="8" w:space="0" w:color="auto"/>
              <w:right w:val="single" w:sz="8" w:space="0" w:color="auto"/>
            </w:tcBorders>
            <w:shd w:val="clear" w:color="auto" w:fill="17365D" w:themeFill="text2" w:themeFillShade="BF"/>
            <w:vAlign w:val="center"/>
            <w:hideMark/>
          </w:tcPr>
          <w:p w:rsidR="0010095D" w:rsidRPr="0010095D" w:rsidRDefault="0010095D" w:rsidP="0010095D">
            <w:pPr>
              <w:jc w:val="center"/>
              <w:rPr>
                <w:rFonts w:cs="Arial"/>
                <w:b/>
                <w:bCs/>
                <w:color w:val="FFFFFF" w:themeColor="background1"/>
                <w:sz w:val="20"/>
              </w:rPr>
            </w:pPr>
            <w:r w:rsidRPr="0010095D">
              <w:rPr>
                <w:rFonts w:cs="Arial"/>
                <w:b/>
                <w:bCs/>
                <w:color w:val="FFFFFF" w:themeColor="background1"/>
                <w:sz w:val="20"/>
              </w:rPr>
              <w:t>T</w:t>
            </w:r>
            <w:r>
              <w:rPr>
                <w:rFonts w:cs="Arial"/>
                <w:b/>
                <w:bCs/>
                <w:color w:val="FFFFFF" w:themeColor="background1"/>
                <w:sz w:val="20"/>
              </w:rPr>
              <w:t>OTAL</w:t>
            </w:r>
          </w:p>
        </w:tc>
      </w:tr>
      <w:tr w:rsidR="00502C89" w:rsidRPr="004E3CD6" w:rsidTr="000B5FB4">
        <w:trPr>
          <w:trHeight w:val="340"/>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color w:val="000000"/>
                <w:szCs w:val="18"/>
              </w:rPr>
            </w:pPr>
            <w:r w:rsidRPr="0084174F">
              <w:rPr>
                <w:rFonts w:cs="Arial"/>
                <w:color w:val="000000"/>
                <w:szCs w:val="18"/>
              </w:rPr>
              <w:t>Escrow Services</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r w:rsidRPr="0084174F">
              <w:rPr>
                <w:rFonts w:cs="Arial"/>
                <w:color w:val="000000"/>
                <w:szCs w:val="18"/>
              </w:rPr>
              <w:t>$57,000</w:t>
            </w: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$57,000</w:t>
            </w:r>
          </w:p>
        </w:tc>
      </w:tr>
      <w:tr w:rsidR="00502C89" w:rsidRPr="004E3CD6" w:rsidTr="004A6EB1">
        <w:trPr>
          <w:trHeight w:val="610"/>
        </w:trPr>
        <w:tc>
          <w:tcPr>
            <w:tcW w:w="2046" w:type="pct"/>
            <w:tcBorders>
              <w:top w:val="nil"/>
              <w:left w:val="single" w:sz="8" w:space="0" w:color="auto"/>
              <w:bottom w:val="single" w:sz="8" w:space="0" w:color="auto"/>
              <w:right w:val="single" w:sz="4" w:space="0" w:color="auto"/>
            </w:tcBorders>
            <w:shd w:val="clear" w:color="auto" w:fill="auto"/>
            <w:hideMark/>
          </w:tcPr>
          <w:p w:rsidR="0010095D" w:rsidRPr="00D65276" w:rsidRDefault="0010095D" w:rsidP="004A6EB1">
            <w:pPr>
              <w:rPr>
                <w:rFonts w:cs="Arial"/>
                <w:color w:val="000000"/>
                <w:szCs w:val="18"/>
                <w:highlight w:val="yellow"/>
              </w:rPr>
            </w:pPr>
            <w:r w:rsidRPr="00D65276">
              <w:rPr>
                <w:rFonts w:cs="Arial"/>
                <w:color w:val="000000"/>
                <w:szCs w:val="18"/>
                <w:highlight w:val="yellow"/>
              </w:rPr>
              <w:t>Functional Enhancement</w:t>
            </w:r>
            <w:r w:rsidR="004C50EB" w:rsidRPr="00D65276">
              <w:rPr>
                <w:rFonts w:cs="Arial"/>
                <w:color w:val="000000"/>
                <w:szCs w:val="18"/>
                <w:highlight w:val="yellow"/>
              </w:rPr>
              <w:t xml:space="preserve"> Deliverables</w:t>
            </w:r>
          </w:p>
        </w:tc>
        <w:tc>
          <w:tcPr>
            <w:tcW w:w="576" w:type="pct"/>
            <w:tcBorders>
              <w:top w:val="single" w:sz="4" w:space="0" w:color="auto"/>
              <w:left w:val="single" w:sz="4" w:space="0" w:color="auto"/>
              <w:bottom w:val="single" w:sz="4" w:space="0" w:color="auto"/>
              <w:right w:val="single" w:sz="4" w:space="0" w:color="auto"/>
            </w:tcBorders>
          </w:tcPr>
          <w:p w:rsidR="0010095D" w:rsidRPr="00D65276" w:rsidRDefault="0010095D" w:rsidP="004A6EB1">
            <w:pPr>
              <w:rPr>
                <w:rFonts w:cs="Arial"/>
                <w:color w:val="000000"/>
                <w:szCs w:val="18"/>
                <w:highlight w:val="yellow"/>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D65276" w:rsidRDefault="0010095D" w:rsidP="004A6EB1">
            <w:pPr>
              <w:jc w:val="right"/>
              <w:rPr>
                <w:rFonts w:cs="Arial"/>
                <w:color w:val="000000"/>
                <w:szCs w:val="18"/>
                <w:highlight w:val="yellow"/>
              </w:rPr>
            </w:pPr>
            <w:r w:rsidRPr="00D65276">
              <w:rPr>
                <w:rFonts w:cs="Arial"/>
                <w:color w:val="000000"/>
                <w:szCs w:val="18"/>
                <w:highlight w:val="yellow"/>
              </w:rPr>
              <w:t>$91,080</w:t>
            </w:r>
          </w:p>
        </w:tc>
        <w:tc>
          <w:tcPr>
            <w:tcW w:w="897" w:type="pct"/>
            <w:tcBorders>
              <w:top w:val="nil"/>
              <w:left w:val="nil"/>
              <w:bottom w:val="single" w:sz="8" w:space="0" w:color="auto"/>
              <w:right w:val="single" w:sz="8" w:space="0" w:color="auto"/>
            </w:tcBorders>
            <w:shd w:val="clear" w:color="auto" w:fill="auto"/>
            <w:hideMark/>
          </w:tcPr>
          <w:p w:rsidR="0010095D" w:rsidRPr="00D65276" w:rsidRDefault="00502C89" w:rsidP="004A6EB1">
            <w:pPr>
              <w:jc w:val="right"/>
              <w:rPr>
                <w:rFonts w:cs="Arial"/>
                <w:color w:val="000000"/>
                <w:szCs w:val="18"/>
                <w:highlight w:val="yellow"/>
              </w:rPr>
            </w:pPr>
            <w:r w:rsidRPr="00D65276">
              <w:rPr>
                <w:rFonts w:cs="Arial"/>
                <w:color w:val="000000"/>
                <w:szCs w:val="18"/>
                <w:highlight w:val="yellow"/>
              </w:rPr>
              <w:t>$396,175</w:t>
            </w:r>
          </w:p>
        </w:tc>
        <w:tc>
          <w:tcPr>
            <w:tcW w:w="897" w:type="pct"/>
            <w:tcBorders>
              <w:top w:val="nil"/>
              <w:left w:val="nil"/>
              <w:bottom w:val="single" w:sz="8" w:space="0" w:color="auto"/>
              <w:right w:val="single" w:sz="8" w:space="0" w:color="auto"/>
            </w:tcBorders>
            <w:shd w:val="clear" w:color="auto" w:fill="auto"/>
            <w:hideMark/>
          </w:tcPr>
          <w:p w:rsidR="0010095D" w:rsidRPr="00D65276" w:rsidRDefault="00502C89" w:rsidP="004A6EB1">
            <w:pPr>
              <w:jc w:val="right"/>
              <w:rPr>
                <w:rFonts w:cs="Arial"/>
                <w:color w:val="000000"/>
                <w:szCs w:val="18"/>
                <w:highlight w:val="yellow"/>
              </w:rPr>
            </w:pPr>
            <w:r w:rsidRPr="00D65276">
              <w:rPr>
                <w:rFonts w:cs="Arial"/>
                <w:color w:val="000000"/>
                <w:szCs w:val="18"/>
                <w:highlight w:val="yellow"/>
              </w:rPr>
              <w:t>$487,255</w:t>
            </w:r>
          </w:p>
        </w:tc>
      </w:tr>
      <w:tr w:rsidR="00502C89" w:rsidRPr="004E3CD6" w:rsidTr="000B5FB4">
        <w:trPr>
          <w:trHeight w:val="340"/>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color w:val="000000"/>
                <w:szCs w:val="18"/>
              </w:rPr>
            </w:pPr>
            <w:r w:rsidRPr="0084174F">
              <w:rPr>
                <w:rFonts w:cs="Arial"/>
                <w:color w:val="000000"/>
                <w:szCs w:val="18"/>
              </w:rPr>
              <w:t xml:space="preserve">Texas Data </w:t>
            </w:r>
            <w:proofErr w:type="spellStart"/>
            <w:r w:rsidRPr="0084174F">
              <w:rPr>
                <w:rFonts w:cs="Arial"/>
                <w:color w:val="000000"/>
                <w:szCs w:val="18"/>
              </w:rPr>
              <w:t>Center</w:t>
            </w:r>
            <w:proofErr w:type="spellEnd"/>
            <w:r w:rsidRPr="0084174F">
              <w:rPr>
                <w:rFonts w:cs="Arial"/>
                <w:color w:val="000000"/>
                <w:szCs w:val="18"/>
              </w:rPr>
              <w:t xml:space="preserve"> Setup</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$405,000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$85,000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$490,000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color w:val="000000"/>
                <w:szCs w:val="18"/>
              </w:rPr>
            </w:pPr>
            <w:r w:rsidRPr="0084174F">
              <w:rPr>
                <w:rFonts w:cs="Arial"/>
                <w:color w:val="000000"/>
                <w:szCs w:val="18"/>
              </w:rPr>
              <w:t>Project Management Services</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r w:rsidRPr="0084174F">
              <w:rPr>
                <w:rFonts w:cs="Arial"/>
                <w:color w:val="000000"/>
                <w:szCs w:val="18"/>
              </w:rPr>
              <w:t>$100,000</w:t>
            </w: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$66,666</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 xml:space="preserve"> </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 xml:space="preserve">$166,666 </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Texas Marketing and Sales Plan (CY 2012)</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$25,000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$25,000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Texas Marketing and Sales Plan (CY 2013)</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$35,000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$35,000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Benefits Realization Strategy</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$40,000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$60,000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Functional Enhancement Project Plan</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$28,000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$28,000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 xml:space="preserve">Non-Functional (Technical) Requirements Roadmap </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$28,000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4A6EB1">
            <w:pPr>
              <w:jc w:val="right"/>
              <w:rPr>
                <w:rFonts w:cs="Arial"/>
                <w:color w:val="000000"/>
                <w:szCs w:val="18"/>
              </w:rPr>
            </w:pPr>
            <w:r w:rsidRPr="0084174F">
              <w:rPr>
                <w:rFonts w:cs="Arial"/>
                <w:color w:val="000000"/>
                <w:szCs w:val="18"/>
              </w:rPr>
              <w:t>$28,000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 xml:space="preserve">Texas Data </w:t>
            </w:r>
            <w:proofErr w:type="spellStart"/>
            <w:r w:rsidRPr="0084174F">
              <w:rPr>
                <w:rFonts w:cs="Arial"/>
                <w:szCs w:val="18"/>
              </w:rPr>
              <w:t>Center</w:t>
            </w:r>
            <w:proofErr w:type="spellEnd"/>
            <w:r w:rsidRPr="0084174F">
              <w:rPr>
                <w:rFonts w:cs="Arial"/>
                <w:szCs w:val="18"/>
              </w:rPr>
              <w:t xml:space="preserve"> Setup Project Plan</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$20,000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 xml:space="preserve">Texas Data </w:t>
            </w:r>
            <w:proofErr w:type="spellStart"/>
            <w:r w:rsidRPr="0084174F">
              <w:rPr>
                <w:rFonts w:cs="Arial"/>
                <w:szCs w:val="18"/>
              </w:rPr>
              <w:t>Center</w:t>
            </w:r>
            <w:proofErr w:type="spellEnd"/>
            <w:r w:rsidRPr="0084174F">
              <w:rPr>
                <w:rFonts w:cs="Arial"/>
                <w:szCs w:val="18"/>
              </w:rPr>
              <w:t xml:space="preserve"> Setup Quality Plan</w:t>
            </w:r>
            <w:r w:rsidR="00A21D64" w:rsidRPr="0084174F">
              <w:rPr>
                <w:rFonts w:cs="Arial"/>
                <w:szCs w:val="18"/>
              </w:rPr>
              <w:t xml:space="preserve"> and Test Results</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A21D64" w:rsidP="00D65276">
            <w:pPr>
              <w:jc w:val="right"/>
              <w:rPr>
                <w:rFonts w:cs="Arial"/>
                <w:color w:val="000000"/>
                <w:szCs w:val="18"/>
              </w:rPr>
            </w:pPr>
            <w:r w:rsidRPr="0084174F">
              <w:rPr>
                <w:rFonts w:cs="Arial"/>
                <w:color w:val="000000"/>
                <w:szCs w:val="18"/>
              </w:rPr>
              <w:t>$45</w:t>
            </w:r>
            <w:r w:rsidR="0010095D" w:rsidRPr="0084174F">
              <w:rPr>
                <w:rFonts w:cs="Arial"/>
                <w:color w:val="000000"/>
                <w:szCs w:val="18"/>
              </w:rPr>
              <w:t>,000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A21D64" w:rsidP="00D65276">
            <w:pPr>
              <w:jc w:val="right"/>
              <w:rPr>
                <w:rFonts w:cs="Arial"/>
                <w:color w:val="000000"/>
                <w:szCs w:val="18"/>
              </w:rPr>
            </w:pPr>
            <w:r w:rsidRPr="0084174F">
              <w:rPr>
                <w:rFonts w:cs="Arial"/>
                <w:color w:val="000000"/>
                <w:szCs w:val="18"/>
              </w:rPr>
              <w:t>$45</w:t>
            </w:r>
            <w:r w:rsidR="007C4CB1" w:rsidRPr="0084174F">
              <w:rPr>
                <w:rFonts w:cs="Arial"/>
                <w:color w:val="000000"/>
                <w:szCs w:val="18"/>
              </w:rPr>
              <w:t>,</w:t>
            </w:r>
            <w:r w:rsidR="0010095D" w:rsidRPr="0084174F">
              <w:rPr>
                <w:rFonts w:cs="Arial"/>
                <w:color w:val="000000"/>
                <w:szCs w:val="18"/>
              </w:rPr>
              <w:t>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State Adaptation Implementation Planning (Master Project Plan and Schedule)</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$106,200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$127,134</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$233,334</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lastRenderedPageBreak/>
              <w:t>SSIS Governance Manual</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$75,000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$75,000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RMS Enhancements</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$50,000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$50,000</w:t>
            </w:r>
          </w:p>
        </w:tc>
      </w:tr>
      <w:tr w:rsidR="00502C89" w:rsidRPr="004E3CD6" w:rsidTr="000B5FB4">
        <w:trPr>
          <w:trHeight w:val="358"/>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szCs w:val="18"/>
              </w:rPr>
            </w:pPr>
            <w:r w:rsidRPr="0084174F">
              <w:rPr>
                <w:rFonts w:cs="Arial"/>
                <w:szCs w:val="18"/>
              </w:rPr>
              <w:t xml:space="preserve">Functional Enhancement Software Quality Plan </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$30,000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p>
        </w:tc>
        <w:tc>
          <w:tcPr>
            <w:tcW w:w="897" w:type="pct"/>
            <w:tcBorders>
              <w:top w:val="nil"/>
              <w:left w:val="nil"/>
              <w:bottom w:val="single" w:sz="8" w:space="0" w:color="auto"/>
              <w:right w:val="single" w:sz="8" w:space="0" w:color="auto"/>
            </w:tcBorders>
            <w:shd w:val="clear" w:color="auto" w:fill="auto"/>
            <w:hideMark/>
          </w:tcPr>
          <w:p w:rsidR="0010095D" w:rsidRPr="0084174F" w:rsidRDefault="0070527C" w:rsidP="00D65276">
            <w:pPr>
              <w:jc w:val="right"/>
              <w:rPr>
                <w:rFonts w:cs="Arial"/>
                <w:color w:val="000000"/>
                <w:szCs w:val="18"/>
              </w:rPr>
            </w:pPr>
            <w:r w:rsidRPr="0084174F">
              <w:rPr>
                <w:rFonts w:cs="Arial"/>
                <w:color w:val="000000"/>
                <w:szCs w:val="18"/>
              </w:rPr>
              <w:t>$3</w:t>
            </w:r>
            <w:r w:rsidR="0010095D" w:rsidRPr="0084174F">
              <w:rPr>
                <w:rFonts w:cs="Arial"/>
                <w:color w:val="000000"/>
                <w:szCs w:val="18"/>
              </w:rPr>
              <w:t>0,000</w:t>
            </w:r>
          </w:p>
        </w:tc>
      </w:tr>
      <w:tr w:rsidR="00502C89" w:rsidRPr="004E3CD6" w:rsidTr="000B5FB4">
        <w:trPr>
          <w:trHeight w:val="313"/>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rPr>
                <w:rFonts w:cs="Arial"/>
                <w:color w:val="000000"/>
                <w:szCs w:val="18"/>
              </w:rPr>
            </w:pPr>
            <w:r w:rsidRPr="0084174F">
              <w:rPr>
                <w:rFonts w:cs="Arial"/>
                <w:color w:val="000000"/>
                <w:szCs w:val="18"/>
              </w:rPr>
              <w:t>LEA Support</w:t>
            </w:r>
            <w:r w:rsidR="001B7B2F">
              <w:rPr>
                <w:rFonts w:cs="Arial"/>
                <w:color w:val="000000"/>
                <w:szCs w:val="18"/>
              </w:rPr>
              <w:t xml:space="preserve"> – ESC Staff Pass Through</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color w:val="000000"/>
                <w:szCs w:val="18"/>
              </w:rPr>
            </w:pP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$440,000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$160,000</w:t>
            </w:r>
          </w:p>
        </w:tc>
        <w:tc>
          <w:tcPr>
            <w:tcW w:w="897" w:type="pct"/>
            <w:tcBorders>
              <w:top w:val="nil"/>
              <w:left w:val="nil"/>
              <w:bottom w:val="single" w:sz="8" w:space="0" w:color="auto"/>
              <w:right w:val="single" w:sz="8" w:space="0" w:color="auto"/>
            </w:tcBorders>
            <w:shd w:val="clear" w:color="auto" w:fill="auto"/>
            <w:hideMark/>
          </w:tcPr>
          <w:p w:rsidR="0010095D" w:rsidRPr="0084174F" w:rsidRDefault="0010095D" w:rsidP="00D65276">
            <w:pPr>
              <w:jc w:val="right"/>
              <w:rPr>
                <w:rFonts w:cs="Arial"/>
                <w:color w:val="000000"/>
                <w:szCs w:val="18"/>
              </w:rPr>
            </w:pPr>
            <w:r w:rsidRPr="0084174F">
              <w:rPr>
                <w:rFonts w:cs="Arial"/>
                <w:color w:val="000000"/>
                <w:szCs w:val="18"/>
              </w:rPr>
              <w:t>$600,000</w:t>
            </w:r>
          </w:p>
        </w:tc>
      </w:tr>
      <w:tr w:rsidR="00502C89" w:rsidRPr="004E3CD6" w:rsidTr="000B5FB4">
        <w:trPr>
          <w:trHeight w:val="315"/>
        </w:trPr>
        <w:tc>
          <w:tcPr>
            <w:tcW w:w="2046" w:type="pct"/>
            <w:tcBorders>
              <w:top w:val="nil"/>
              <w:left w:val="single" w:sz="8" w:space="0" w:color="auto"/>
              <w:bottom w:val="single" w:sz="8" w:space="0" w:color="auto"/>
              <w:right w:val="single" w:sz="4" w:space="0" w:color="auto"/>
            </w:tcBorders>
            <w:shd w:val="clear" w:color="auto" w:fill="auto"/>
            <w:hideMark/>
          </w:tcPr>
          <w:p w:rsidR="0010095D" w:rsidRPr="0084174F" w:rsidRDefault="0010095D" w:rsidP="00D65276">
            <w:pPr>
              <w:jc w:val="right"/>
              <w:rPr>
                <w:rFonts w:cs="Arial"/>
                <w:b/>
                <w:color w:val="000000"/>
                <w:szCs w:val="18"/>
              </w:rPr>
            </w:pPr>
            <w:r w:rsidRPr="0084174F">
              <w:rPr>
                <w:rFonts w:cs="Arial"/>
                <w:b/>
                <w:color w:val="000000"/>
                <w:szCs w:val="18"/>
              </w:rPr>
              <w:t>TOTAL</w:t>
            </w:r>
          </w:p>
        </w:tc>
        <w:tc>
          <w:tcPr>
            <w:tcW w:w="576" w:type="pct"/>
            <w:tcBorders>
              <w:top w:val="single" w:sz="4" w:space="0" w:color="auto"/>
              <w:left w:val="single" w:sz="4" w:space="0" w:color="auto"/>
              <w:bottom w:val="single" w:sz="4" w:space="0" w:color="auto"/>
              <w:right w:val="single" w:sz="4" w:space="0" w:color="auto"/>
            </w:tcBorders>
          </w:tcPr>
          <w:p w:rsidR="0010095D" w:rsidRPr="0084174F" w:rsidRDefault="0010095D" w:rsidP="00D65276">
            <w:pPr>
              <w:jc w:val="right"/>
              <w:rPr>
                <w:rFonts w:cs="Arial"/>
                <w:b/>
                <w:color w:val="000000"/>
                <w:szCs w:val="18"/>
              </w:rPr>
            </w:pPr>
            <w:r w:rsidRPr="0084174F">
              <w:rPr>
                <w:rFonts w:cs="Arial"/>
                <w:b/>
                <w:color w:val="000000"/>
                <w:szCs w:val="18"/>
              </w:rPr>
              <w:t>$157,000</w:t>
            </w:r>
          </w:p>
        </w:tc>
        <w:tc>
          <w:tcPr>
            <w:tcW w:w="583" w:type="pct"/>
            <w:tcBorders>
              <w:top w:val="nil"/>
              <w:left w:val="single" w:sz="4" w:space="0" w:color="auto"/>
              <w:bottom w:val="single" w:sz="8" w:space="0" w:color="auto"/>
              <w:right w:val="single" w:sz="8" w:space="0" w:color="auto"/>
            </w:tcBorders>
            <w:shd w:val="clear" w:color="auto" w:fill="auto"/>
            <w:hideMark/>
          </w:tcPr>
          <w:p w:rsidR="0010095D" w:rsidRPr="0084174F" w:rsidRDefault="00FE492E" w:rsidP="00D65276">
            <w:pPr>
              <w:jc w:val="right"/>
              <w:rPr>
                <w:rFonts w:cs="Arial"/>
                <w:b/>
                <w:color w:val="000000"/>
                <w:szCs w:val="18"/>
              </w:rPr>
            </w:pPr>
            <w:r w:rsidRPr="0084174F">
              <w:rPr>
                <w:rFonts w:cs="Arial"/>
                <w:b/>
                <w:color w:val="000000"/>
                <w:szCs w:val="18"/>
              </w:rPr>
              <w:fldChar w:fldCharType="begin"/>
            </w:r>
            <w:r w:rsidR="0010095D" w:rsidRPr="0084174F">
              <w:rPr>
                <w:rFonts w:cs="Arial"/>
                <w:b/>
                <w:color w:val="000000"/>
                <w:szCs w:val="18"/>
              </w:rPr>
              <w:instrText xml:space="preserve"> =SUM(ABOVE) \# "$#,##0;($#,##0)" </w:instrText>
            </w:r>
            <w:r w:rsidRPr="0084174F">
              <w:rPr>
                <w:rFonts w:cs="Arial"/>
                <w:b/>
                <w:color w:val="000000"/>
                <w:szCs w:val="18"/>
              </w:rPr>
              <w:fldChar w:fldCharType="separate"/>
            </w:r>
            <w:r w:rsidR="006C3BDA" w:rsidRPr="0084174F">
              <w:rPr>
                <w:rFonts w:cs="Arial"/>
                <w:b/>
                <w:noProof/>
                <w:color w:val="000000"/>
                <w:szCs w:val="18"/>
              </w:rPr>
              <w:t>$1,44</w:t>
            </w:r>
            <w:r w:rsidR="0010095D" w:rsidRPr="0084174F">
              <w:rPr>
                <w:rFonts w:cs="Arial"/>
                <w:b/>
                <w:noProof/>
                <w:color w:val="000000"/>
                <w:szCs w:val="18"/>
              </w:rPr>
              <w:t>9,946</w:t>
            </w:r>
            <w:r w:rsidRPr="0084174F">
              <w:rPr>
                <w:rFonts w:cs="Arial"/>
                <w:b/>
                <w:color w:val="000000"/>
                <w:szCs w:val="18"/>
              </w:rPr>
              <w:fldChar w:fldCharType="end"/>
            </w:r>
          </w:p>
        </w:tc>
        <w:tc>
          <w:tcPr>
            <w:tcW w:w="897" w:type="pct"/>
            <w:tcBorders>
              <w:top w:val="nil"/>
              <w:left w:val="nil"/>
              <w:bottom w:val="single" w:sz="8" w:space="0" w:color="auto"/>
              <w:right w:val="single" w:sz="8" w:space="0" w:color="auto"/>
            </w:tcBorders>
            <w:shd w:val="clear" w:color="auto" w:fill="auto"/>
            <w:hideMark/>
          </w:tcPr>
          <w:p w:rsidR="0010095D" w:rsidRPr="0084174F" w:rsidRDefault="007C4CB1" w:rsidP="00112561">
            <w:pPr>
              <w:jc w:val="right"/>
              <w:rPr>
                <w:rFonts w:cs="Arial"/>
                <w:b/>
                <w:color w:val="000000"/>
                <w:szCs w:val="18"/>
              </w:rPr>
            </w:pPr>
            <w:r w:rsidRPr="0084174F">
              <w:rPr>
                <w:rFonts w:cs="Arial"/>
                <w:b/>
                <w:color w:val="000000"/>
                <w:szCs w:val="18"/>
              </w:rPr>
              <w:t>$</w:t>
            </w:r>
            <w:r w:rsidR="00112561" w:rsidRPr="0084174F">
              <w:rPr>
                <w:rFonts w:cs="Arial"/>
                <w:b/>
                <w:color w:val="000000"/>
                <w:szCs w:val="18"/>
              </w:rPr>
              <w:t>823,309</w:t>
            </w:r>
          </w:p>
        </w:tc>
        <w:tc>
          <w:tcPr>
            <w:tcW w:w="897" w:type="pct"/>
            <w:tcBorders>
              <w:top w:val="nil"/>
              <w:left w:val="nil"/>
              <w:bottom w:val="single" w:sz="8" w:space="0" w:color="auto"/>
              <w:right w:val="single" w:sz="8" w:space="0" w:color="auto"/>
            </w:tcBorders>
            <w:shd w:val="clear" w:color="auto" w:fill="auto"/>
            <w:hideMark/>
          </w:tcPr>
          <w:p w:rsidR="0010095D" w:rsidRPr="0084174F" w:rsidRDefault="008719B5" w:rsidP="00112561">
            <w:pPr>
              <w:jc w:val="right"/>
              <w:rPr>
                <w:rFonts w:cs="Arial"/>
                <w:b/>
                <w:color w:val="000000"/>
                <w:szCs w:val="18"/>
              </w:rPr>
            </w:pPr>
            <w:r w:rsidRPr="0084174F">
              <w:rPr>
                <w:rFonts w:cs="Arial"/>
                <w:b/>
                <w:color w:val="000000"/>
                <w:szCs w:val="18"/>
              </w:rPr>
              <w:t>$2,</w:t>
            </w:r>
            <w:r w:rsidR="00112561" w:rsidRPr="0084174F">
              <w:rPr>
                <w:rFonts w:cs="Arial"/>
                <w:b/>
                <w:color w:val="000000"/>
                <w:szCs w:val="18"/>
              </w:rPr>
              <w:t>430,255</w:t>
            </w:r>
          </w:p>
        </w:tc>
      </w:tr>
    </w:tbl>
    <w:p w:rsidR="00324476" w:rsidRPr="004E3CD6" w:rsidRDefault="00236E86" w:rsidP="00236E86">
      <w:pPr>
        <w:pStyle w:val="H2"/>
      </w:pPr>
      <w:r w:rsidRPr="004E3CD6">
        <w:t>Functional Requirements Enhancements</w:t>
      </w:r>
    </w:p>
    <w:p w:rsidR="00565FFD" w:rsidRDefault="00161CFC" w:rsidP="00565FFD">
      <w:pPr>
        <w:pStyle w:val="Body"/>
      </w:pPr>
      <w:r w:rsidRPr="004E3CD6">
        <w:t xml:space="preserve">These </w:t>
      </w:r>
      <w:r w:rsidR="00842D3A" w:rsidRPr="004E3CD6">
        <w:t xml:space="preserve">costs are for adaptation </w:t>
      </w:r>
      <w:r w:rsidRPr="004E3CD6">
        <w:t xml:space="preserve">of the </w:t>
      </w:r>
      <w:r w:rsidR="00CB10A9" w:rsidRPr="004E3CD6">
        <w:t>Vendor</w:t>
      </w:r>
      <w:r w:rsidRPr="004E3CD6">
        <w:t xml:space="preserve"> </w:t>
      </w:r>
      <w:r w:rsidR="00CB10A9" w:rsidRPr="004E3CD6">
        <w:t>SIS</w:t>
      </w:r>
      <w:r w:rsidRPr="004E3CD6">
        <w:t xml:space="preserve"> to meet the required base configuration as described in RFO 701-11-030.</w:t>
      </w:r>
      <w:r w:rsidR="00CB10A9" w:rsidRPr="004E3CD6">
        <w:t xml:space="preserve"> Enhancements are to be completed by the Vendor as directed by TEA to meet RFO Functional Requirements. </w:t>
      </w:r>
      <w:r w:rsidR="00565FFD" w:rsidRPr="004E3CD6">
        <w:t xml:space="preserve">Payment for each deliverable will be due upon acceptance by the TEA </w:t>
      </w:r>
      <w:r w:rsidR="008B5250">
        <w:t>Contract</w:t>
      </w:r>
      <w:r w:rsidR="00565FFD" w:rsidRPr="004E3CD6">
        <w:t xml:space="preserve"> Manager.</w:t>
      </w:r>
    </w:p>
    <w:p w:rsidR="004A6EB1" w:rsidRPr="004E3CD6" w:rsidRDefault="004A6EB1" w:rsidP="00565FFD">
      <w:pPr>
        <w:pStyle w:val="Body"/>
      </w:pPr>
    </w:p>
    <w:p w:rsidR="00BA4CCE" w:rsidRDefault="00AB60B4">
      <w:pPr>
        <w:pStyle w:val="H3"/>
        <w:ind w:left="0" w:hanging="18"/>
      </w:pPr>
      <w:r w:rsidRPr="004E3CD6">
        <w:t>FY 2012</w:t>
      </w:r>
      <w:r w:rsidR="0014607A" w:rsidRPr="004E3CD6">
        <w:t xml:space="preserve"> Payments</w:t>
      </w:r>
    </w:p>
    <w:p w:rsidR="00A5388E" w:rsidRDefault="00A5388E" w:rsidP="00A5388E">
      <w:r w:rsidRPr="00BC7756">
        <w:t xml:space="preserve">TEA </w:t>
      </w:r>
      <w:r w:rsidR="0010095D">
        <w:t>paid</w:t>
      </w:r>
      <w:r w:rsidRPr="00BC7756">
        <w:t xml:space="preserve"> the Vendor a payment of $91,080 for completion </w:t>
      </w:r>
      <w:r w:rsidR="0010095D">
        <w:t xml:space="preserve">of </w:t>
      </w:r>
      <w:r w:rsidRPr="00BC7756">
        <w:t>design documents (tutorials) for enhancements to their student information system.</w:t>
      </w:r>
    </w:p>
    <w:p w:rsidR="004A6EB1" w:rsidRDefault="004A6EB1" w:rsidP="00A5388E"/>
    <w:p w:rsidR="00BA4CCE" w:rsidRDefault="004F47CC">
      <w:pPr>
        <w:pStyle w:val="H3"/>
        <w:ind w:left="0" w:hanging="18"/>
      </w:pPr>
      <w:r>
        <w:t>FY 2013</w:t>
      </w:r>
      <w:r w:rsidRPr="004E3CD6">
        <w:t xml:space="preserve"> Payments</w:t>
      </w:r>
    </w:p>
    <w:p w:rsidR="009C6BD9" w:rsidRDefault="00842D3A" w:rsidP="00AB60B4">
      <w:pPr>
        <w:pStyle w:val="Body"/>
      </w:pPr>
      <w:r w:rsidRPr="00D65276">
        <w:rPr>
          <w:highlight w:val="yellow"/>
        </w:rPr>
        <w:t xml:space="preserve">TEA will </w:t>
      </w:r>
      <w:r w:rsidR="00CB10A9" w:rsidRPr="00D65276">
        <w:rPr>
          <w:highlight w:val="yellow"/>
        </w:rPr>
        <w:t xml:space="preserve">pay </w:t>
      </w:r>
      <w:r w:rsidRPr="00D65276">
        <w:rPr>
          <w:highlight w:val="yellow"/>
        </w:rPr>
        <w:t>the Vendor p</w:t>
      </w:r>
      <w:r w:rsidR="00296902" w:rsidRPr="00D65276">
        <w:rPr>
          <w:highlight w:val="yellow"/>
        </w:rPr>
        <w:t>ayment</w:t>
      </w:r>
      <w:r w:rsidR="00CB5A86" w:rsidRPr="00D65276">
        <w:rPr>
          <w:highlight w:val="yellow"/>
        </w:rPr>
        <w:t>s</w:t>
      </w:r>
      <w:r w:rsidR="00296902" w:rsidRPr="00D65276">
        <w:rPr>
          <w:highlight w:val="yellow"/>
        </w:rPr>
        <w:t xml:space="preserve"> </w:t>
      </w:r>
      <w:r w:rsidR="00CB5A86" w:rsidRPr="00D65276">
        <w:rPr>
          <w:highlight w:val="yellow"/>
        </w:rPr>
        <w:t>totall</w:t>
      </w:r>
      <w:r w:rsidR="00DD2DAD" w:rsidRPr="00D65276">
        <w:rPr>
          <w:highlight w:val="yellow"/>
        </w:rPr>
        <w:t>ing</w:t>
      </w:r>
      <w:r w:rsidR="00296902" w:rsidRPr="00D65276">
        <w:rPr>
          <w:highlight w:val="yellow"/>
        </w:rPr>
        <w:t xml:space="preserve"> $</w:t>
      </w:r>
      <w:r w:rsidR="00502C89" w:rsidRPr="00D65276">
        <w:rPr>
          <w:highlight w:val="yellow"/>
        </w:rPr>
        <w:t>396,175</w:t>
      </w:r>
      <w:r w:rsidR="009D56FB" w:rsidRPr="00D65276">
        <w:rPr>
          <w:highlight w:val="yellow"/>
        </w:rPr>
        <w:t xml:space="preserve"> for completion of </w:t>
      </w:r>
      <w:r w:rsidR="00CB5A86" w:rsidRPr="00D65276">
        <w:rPr>
          <w:highlight w:val="yellow"/>
        </w:rPr>
        <w:t xml:space="preserve">requirements validation and design, </w:t>
      </w:r>
      <w:r w:rsidR="00AB60B4" w:rsidRPr="00D65276">
        <w:rPr>
          <w:highlight w:val="yellow"/>
        </w:rPr>
        <w:t>codi</w:t>
      </w:r>
      <w:r w:rsidR="009D56FB" w:rsidRPr="00D65276">
        <w:rPr>
          <w:highlight w:val="yellow"/>
        </w:rPr>
        <w:t xml:space="preserve">ng, </w:t>
      </w:r>
      <w:r w:rsidR="00CB5A86" w:rsidRPr="00D65276">
        <w:rPr>
          <w:highlight w:val="yellow"/>
        </w:rPr>
        <w:t xml:space="preserve">quality assurance </w:t>
      </w:r>
      <w:r w:rsidR="00AB60B4" w:rsidRPr="00D65276">
        <w:rPr>
          <w:highlight w:val="yellow"/>
        </w:rPr>
        <w:t>testing</w:t>
      </w:r>
      <w:r w:rsidR="009D56FB" w:rsidRPr="00D65276">
        <w:rPr>
          <w:highlight w:val="yellow"/>
        </w:rPr>
        <w:t xml:space="preserve">, </w:t>
      </w:r>
      <w:r w:rsidR="00D93CF6" w:rsidRPr="00D65276">
        <w:rPr>
          <w:highlight w:val="yellow"/>
        </w:rPr>
        <w:t>user acceptance testing and test results</w:t>
      </w:r>
      <w:r w:rsidR="007A5F22" w:rsidRPr="00D65276">
        <w:rPr>
          <w:highlight w:val="yellow"/>
        </w:rPr>
        <w:t xml:space="preserve">, </w:t>
      </w:r>
      <w:r w:rsidR="009D56FB" w:rsidRPr="00D65276">
        <w:rPr>
          <w:highlight w:val="yellow"/>
        </w:rPr>
        <w:t>and deployment</w:t>
      </w:r>
      <w:r w:rsidR="00AB60B4" w:rsidRPr="00D65276">
        <w:rPr>
          <w:highlight w:val="yellow"/>
        </w:rPr>
        <w:t xml:space="preserve"> </w:t>
      </w:r>
      <w:r w:rsidR="007A5F22" w:rsidRPr="00D65276">
        <w:rPr>
          <w:highlight w:val="yellow"/>
        </w:rPr>
        <w:t>for</w:t>
      </w:r>
      <w:r w:rsidRPr="00D65276">
        <w:rPr>
          <w:highlight w:val="yellow"/>
        </w:rPr>
        <w:t xml:space="preserve"> enhancements</w:t>
      </w:r>
      <w:r w:rsidR="00E36242" w:rsidRPr="00D65276">
        <w:rPr>
          <w:highlight w:val="yellow"/>
        </w:rPr>
        <w:t xml:space="preserve"> delivered</w:t>
      </w:r>
      <w:r w:rsidR="004C50EB" w:rsidRPr="00D65276">
        <w:rPr>
          <w:highlight w:val="yellow"/>
        </w:rPr>
        <w:t xml:space="preserve"> by </w:t>
      </w:r>
      <w:r w:rsidR="00502C89" w:rsidRPr="00D65276">
        <w:rPr>
          <w:highlight w:val="yellow"/>
        </w:rPr>
        <w:t>June 30</w:t>
      </w:r>
      <w:r w:rsidR="00E36242" w:rsidRPr="00D65276">
        <w:rPr>
          <w:highlight w:val="yellow"/>
        </w:rPr>
        <w:t>,</w:t>
      </w:r>
      <w:r w:rsidR="004C50EB" w:rsidRPr="00D65276">
        <w:rPr>
          <w:highlight w:val="yellow"/>
        </w:rPr>
        <w:t xml:space="preserve"> 2013</w:t>
      </w:r>
      <w:r w:rsidRPr="00D65276">
        <w:rPr>
          <w:highlight w:val="yellow"/>
        </w:rPr>
        <w:t>.</w:t>
      </w:r>
      <w:r w:rsidR="009C6BD9" w:rsidRPr="00D65276">
        <w:rPr>
          <w:highlight w:val="yellow"/>
        </w:rPr>
        <w:t xml:space="preserve"> Payments</w:t>
      </w:r>
      <w:r w:rsidR="007A5F22" w:rsidRPr="00D65276">
        <w:rPr>
          <w:highlight w:val="yellow"/>
        </w:rPr>
        <w:t xml:space="preserve"> represent the cost of </w:t>
      </w:r>
      <w:r w:rsidR="00E36242" w:rsidRPr="00D65276">
        <w:rPr>
          <w:highlight w:val="yellow"/>
        </w:rPr>
        <w:t xml:space="preserve">active </w:t>
      </w:r>
      <w:r w:rsidR="007A5F22" w:rsidRPr="00D65276">
        <w:rPr>
          <w:highlight w:val="yellow"/>
        </w:rPr>
        <w:t>P4 and P5 enhancements in addition to a set of approved TSUG enhancements that have been mutually agreed by TEA and Skyward to be substituted for the P4 and P5 enhancements that have been cancelled based on the analysis of the initial set of requirements.</w:t>
      </w:r>
      <w:r w:rsidR="009C6BD9" w:rsidRPr="0084174F">
        <w:t xml:space="preserve"> </w:t>
      </w:r>
    </w:p>
    <w:p w:rsidR="004A6EB1" w:rsidRDefault="004A6EB1" w:rsidP="00AB60B4">
      <w:pPr>
        <w:pStyle w:val="Body"/>
      </w:pPr>
    </w:p>
    <w:p w:rsidR="004A6EB1" w:rsidRDefault="004A6EB1" w:rsidP="00AB60B4">
      <w:pPr>
        <w:pStyle w:val="Body"/>
      </w:pPr>
    </w:p>
    <w:p w:rsidR="004A6EB1" w:rsidRDefault="004A6EB1" w:rsidP="00AB60B4">
      <w:pPr>
        <w:pStyle w:val="Body"/>
      </w:pPr>
    </w:p>
    <w:p w:rsidR="004A6EB1" w:rsidRDefault="004A6EB1" w:rsidP="00AB60B4">
      <w:pPr>
        <w:pStyle w:val="Body"/>
      </w:pPr>
    </w:p>
    <w:p w:rsidR="00BC5B3C" w:rsidRDefault="00BC5B3C" w:rsidP="00AB60B4">
      <w:pPr>
        <w:pStyle w:val="Body"/>
      </w:pPr>
    </w:p>
    <w:tbl>
      <w:tblPr>
        <w:tblW w:w="8000" w:type="dxa"/>
        <w:tblInd w:w="96" w:type="dxa"/>
        <w:tblLook w:val="04A0"/>
      </w:tblPr>
      <w:tblGrid>
        <w:gridCol w:w="3400"/>
        <w:gridCol w:w="1880"/>
        <w:gridCol w:w="2720"/>
      </w:tblGrid>
      <w:tr w:rsidR="00BC5B3C" w:rsidRPr="002D6AB2" w:rsidTr="00D65276">
        <w:trPr>
          <w:trHeight w:val="1188"/>
        </w:trPr>
        <w:tc>
          <w:tcPr>
            <w:tcW w:w="3400" w:type="dxa"/>
            <w:tcBorders>
              <w:top w:val="single" w:sz="8" w:space="0" w:color="auto"/>
              <w:left w:val="single" w:sz="8" w:space="0" w:color="auto"/>
              <w:bottom w:val="nil"/>
              <w:right w:val="single" w:sz="8" w:space="0" w:color="auto"/>
            </w:tcBorders>
            <w:shd w:val="clear" w:color="000000" w:fill="17365D"/>
            <w:vAlign w:val="bottom"/>
            <w:hideMark/>
          </w:tcPr>
          <w:p w:rsidR="00BC5B3C" w:rsidRDefault="00BC5B3C" w:rsidP="00D65276">
            <w:pPr>
              <w:spacing w:before="0" w:after="0" w:line="240" w:lineRule="auto"/>
              <w:jc w:val="center"/>
              <w:rPr>
                <w:b/>
                <w:color w:val="FFFFFF"/>
                <w:sz w:val="20"/>
                <w:lang w:val="en-US"/>
              </w:rPr>
            </w:pPr>
            <w:r w:rsidRPr="002D6AB2">
              <w:rPr>
                <w:rFonts w:cs="Arial"/>
                <w:b/>
                <w:bCs/>
                <w:color w:val="FFFFFF"/>
                <w:sz w:val="20"/>
                <w:lang w:val="en-US"/>
              </w:rPr>
              <w:t xml:space="preserve">FY 2013 Functional Enhancement Cost Summary </w:t>
            </w:r>
            <w:r w:rsidRPr="002D6AB2">
              <w:rPr>
                <w:rFonts w:ascii="Arial Narrow" w:hAnsi="Arial Narrow" w:cs="Arial"/>
                <w:b/>
                <w:bCs/>
                <w:color w:val="FFFFFF"/>
                <w:sz w:val="20"/>
                <w:lang w:val="en-US"/>
              </w:rPr>
              <w:t>(Cost includes: Requirements, Design, Build, QA, UAT Scripts / Results, Deployment)</w:t>
            </w:r>
          </w:p>
        </w:tc>
        <w:tc>
          <w:tcPr>
            <w:tcW w:w="1880" w:type="dxa"/>
            <w:tcBorders>
              <w:top w:val="single" w:sz="8" w:space="0" w:color="auto"/>
              <w:left w:val="nil"/>
              <w:bottom w:val="nil"/>
              <w:right w:val="single" w:sz="8" w:space="0" w:color="auto"/>
            </w:tcBorders>
            <w:shd w:val="clear" w:color="000000" w:fill="17365D"/>
            <w:vAlign w:val="bottom"/>
            <w:hideMark/>
          </w:tcPr>
          <w:p w:rsidR="00BC5B3C" w:rsidRDefault="00BC5B3C" w:rsidP="00D65276">
            <w:pPr>
              <w:spacing w:before="0" w:after="0" w:line="240" w:lineRule="auto"/>
              <w:jc w:val="center"/>
              <w:rPr>
                <w:b/>
                <w:color w:val="FFFFFF"/>
                <w:sz w:val="20"/>
                <w:lang w:val="en-US"/>
              </w:rPr>
            </w:pPr>
            <w:r w:rsidRPr="004A3A22">
              <w:rPr>
                <w:b/>
                <w:color w:val="FFFFFF"/>
                <w:sz w:val="20"/>
                <w:lang w:val="en-US"/>
              </w:rPr>
              <w:t xml:space="preserve">Revised Cost </w:t>
            </w:r>
            <w:r w:rsidRPr="002D6AB2">
              <w:rPr>
                <w:rFonts w:cs="Arial"/>
                <w:b/>
                <w:bCs/>
                <w:color w:val="FFFFFF"/>
                <w:sz w:val="20"/>
                <w:lang w:val="en-US"/>
              </w:rPr>
              <w:t>as of 11/15</w:t>
            </w:r>
            <w:r w:rsidRPr="004A3A22">
              <w:rPr>
                <w:b/>
                <w:color w:val="FFFFFF"/>
                <w:sz w:val="20"/>
                <w:lang w:val="en-US"/>
              </w:rPr>
              <w:t>/2012</w:t>
            </w:r>
          </w:p>
        </w:tc>
        <w:tc>
          <w:tcPr>
            <w:tcW w:w="2720" w:type="dxa"/>
            <w:tcBorders>
              <w:top w:val="single" w:sz="8" w:space="0" w:color="auto"/>
              <w:left w:val="nil"/>
              <w:bottom w:val="nil"/>
              <w:right w:val="single" w:sz="8" w:space="0" w:color="auto"/>
            </w:tcBorders>
            <w:shd w:val="clear" w:color="000000" w:fill="17365D"/>
            <w:vAlign w:val="bottom"/>
            <w:hideMark/>
          </w:tcPr>
          <w:p w:rsidR="00BC5B3C" w:rsidRDefault="00BC5B3C" w:rsidP="00D65276">
            <w:pPr>
              <w:spacing w:before="0" w:after="0" w:line="240" w:lineRule="auto"/>
              <w:jc w:val="center"/>
              <w:rPr>
                <w:b/>
                <w:color w:val="FFFFFF"/>
                <w:sz w:val="20"/>
                <w:lang w:val="en-US"/>
              </w:rPr>
            </w:pPr>
            <w:r w:rsidRPr="002D6AB2">
              <w:rPr>
                <w:rFonts w:cs="Arial"/>
                <w:b/>
                <w:bCs/>
                <w:color w:val="FFFFFF"/>
                <w:sz w:val="20"/>
                <w:lang w:val="en-US"/>
              </w:rPr>
              <w:t>Comments</w:t>
            </w:r>
          </w:p>
        </w:tc>
      </w:tr>
      <w:tr w:rsidR="00BC5B3C" w:rsidRPr="002D6AB2" w:rsidTr="00D65276">
        <w:trPr>
          <w:trHeight w:val="792"/>
        </w:trPr>
        <w:tc>
          <w:tcPr>
            <w:tcW w:w="3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5B3C" w:rsidRPr="002D6AB2" w:rsidRDefault="00BC5B3C" w:rsidP="00D65276">
            <w:pPr>
              <w:spacing w:before="0" w:after="0" w:line="240" w:lineRule="auto"/>
              <w:rPr>
                <w:rFonts w:cs="Arial"/>
                <w:color w:val="000000"/>
                <w:szCs w:val="18"/>
                <w:lang w:val="en-US"/>
              </w:rPr>
            </w:pPr>
            <w:r w:rsidRPr="002D6AB2">
              <w:rPr>
                <w:rFonts w:cs="Arial"/>
                <w:color w:val="000000"/>
                <w:szCs w:val="18"/>
                <w:lang w:val="en-US"/>
              </w:rPr>
              <w:t xml:space="preserve">Cost of Active P4 and P5 Requirements: </w:t>
            </w:r>
          </w:p>
        </w:tc>
        <w:tc>
          <w:tcPr>
            <w:tcW w:w="1880" w:type="dxa"/>
            <w:tcBorders>
              <w:top w:val="single" w:sz="4" w:space="0" w:color="auto"/>
              <w:left w:val="nil"/>
              <w:bottom w:val="single" w:sz="4" w:space="0" w:color="auto"/>
              <w:right w:val="single" w:sz="4" w:space="0" w:color="auto"/>
            </w:tcBorders>
            <w:shd w:val="clear" w:color="auto" w:fill="auto"/>
            <w:noWrap/>
            <w:vAlign w:val="center"/>
            <w:hideMark/>
          </w:tcPr>
          <w:p w:rsidR="00BC5B3C" w:rsidRPr="002D6AB2" w:rsidRDefault="00BC5B3C" w:rsidP="00D65276">
            <w:pPr>
              <w:spacing w:before="0" w:after="0" w:line="240" w:lineRule="auto"/>
              <w:rPr>
                <w:rFonts w:ascii="Calibri" w:hAnsi="Calibri" w:cs="Calibri"/>
                <w:color w:val="000000"/>
                <w:sz w:val="22"/>
                <w:szCs w:val="22"/>
                <w:lang w:val="en-US"/>
              </w:rPr>
            </w:pPr>
            <w:r w:rsidRPr="002D6AB2">
              <w:rPr>
                <w:rFonts w:ascii="Calibri" w:hAnsi="Calibri" w:cs="Calibri"/>
                <w:color w:val="000000"/>
                <w:sz w:val="22"/>
                <w:szCs w:val="22"/>
                <w:lang w:val="en-US"/>
              </w:rPr>
              <w:t xml:space="preserve"> </w:t>
            </w:r>
            <w:r>
              <w:rPr>
                <w:rFonts w:ascii="Calibri" w:hAnsi="Calibri" w:cs="Calibri"/>
                <w:color w:val="000000"/>
                <w:sz w:val="22"/>
                <w:szCs w:val="22"/>
                <w:lang w:val="en-US"/>
              </w:rPr>
              <w:t xml:space="preserve">$                 </w:t>
            </w:r>
            <w:r w:rsidRPr="002D6AB2">
              <w:rPr>
                <w:rFonts w:ascii="Calibri" w:hAnsi="Calibri" w:cs="Calibri"/>
                <w:color w:val="000000"/>
                <w:sz w:val="22"/>
                <w:szCs w:val="22"/>
                <w:lang w:val="en-US"/>
              </w:rPr>
              <w:t xml:space="preserve">89,415 </w:t>
            </w:r>
          </w:p>
        </w:tc>
        <w:tc>
          <w:tcPr>
            <w:tcW w:w="2720" w:type="dxa"/>
            <w:tcBorders>
              <w:top w:val="single" w:sz="4" w:space="0" w:color="auto"/>
              <w:left w:val="nil"/>
              <w:bottom w:val="single" w:sz="4" w:space="0" w:color="auto"/>
              <w:right w:val="single" w:sz="4" w:space="0" w:color="auto"/>
            </w:tcBorders>
            <w:shd w:val="clear" w:color="auto" w:fill="auto"/>
            <w:noWrap/>
            <w:vAlign w:val="bottom"/>
            <w:hideMark/>
          </w:tcPr>
          <w:p w:rsidR="00BC5B3C" w:rsidRPr="002D6AB2" w:rsidRDefault="00BC5B3C" w:rsidP="00D65276">
            <w:pPr>
              <w:spacing w:before="0" w:after="0" w:line="240" w:lineRule="auto"/>
              <w:rPr>
                <w:rFonts w:ascii="Calibri" w:hAnsi="Calibri" w:cs="Calibri"/>
                <w:color w:val="000000"/>
                <w:sz w:val="22"/>
                <w:szCs w:val="22"/>
                <w:lang w:val="en-US"/>
              </w:rPr>
            </w:pPr>
            <w:r w:rsidRPr="002D6AB2">
              <w:rPr>
                <w:rFonts w:ascii="Calibri" w:hAnsi="Calibri" w:cs="Calibri"/>
                <w:color w:val="000000"/>
                <w:sz w:val="22"/>
                <w:szCs w:val="22"/>
                <w:lang w:val="en-US"/>
              </w:rPr>
              <w:t> </w:t>
            </w:r>
          </w:p>
        </w:tc>
      </w:tr>
      <w:tr w:rsidR="00BC5B3C" w:rsidRPr="002D6AB2" w:rsidTr="00D65276">
        <w:trPr>
          <w:trHeight w:val="828"/>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2D6AB2">
              <w:rPr>
                <w:rFonts w:cs="Arial"/>
                <w:color w:val="000000"/>
                <w:szCs w:val="18"/>
                <w:lang w:val="en-US"/>
              </w:rPr>
              <w:t xml:space="preserve">Cost of Cancelled P4 and P5 Requirements: </w:t>
            </w:r>
            <w:r w:rsidRPr="004A3A22">
              <w:rPr>
                <w:color w:val="000000"/>
                <w:lang w:val="en-US"/>
              </w:rPr>
              <w:t>Skyward cancels due to not feasible</w:t>
            </w:r>
            <w:r w:rsidRPr="002D6AB2">
              <w:rPr>
                <w:rFonts w:cs="Arial"/>
                <w:color w:val="000000"/>
                <w:szCs w:val="18"/>
                <w:lang w:val="en-US"/>
              </w:rPr>
              <w:t xml:space="preserve"> (1)</w:t>
            </w:r>
          </w:p>
        </w:tc>
        <w:tc>
          <w:tcPr>
            <w:tcW w:w="1880" w:type="dxa"/>
            <w:tcBorders>
              <w:top w:val="nil"/>
              <w:left w:val="nil"/>
              <w:bottom w:val="single" w:sz="4" w:space="0" w:color="auto"/>
              <w:right w:val="single" w:sz="4" w:space="0" w:color="auto"/>
            </w:tcBorders>
            <w:noWrap/>
            <w:vAlign w:val="center"/>
            <w:hideMark/>
          </w:tcPr>
          <w:p w:rsidR="00BC5B3C" w:rsidRDefault="00BC5B3C" w:rsidP="00D65276">
            <w:pPr>
              <w:spacing w:before="0" w:after="0" w:line="240" w:lineRule="auto"/>
              <w:rPr>
                <w:rFonts w:ascii="Calibri" w:hAnsi="Calibri"/>
                <w:color w:val="000000"/>
                <w:sz w:val="22"/>
                <w:lang w:val="en-US"/>
              </w:rPr>
            </w:pPr>
            <w:r>
              <w:rPr>
                <w:rFonts w:ascii="Calibri" w:hAnsi="Calibri" w:cs="Calibri"/>
                <w:color w:val="000000"/>
                <w:sz w:val="22"/>
                <w:szCs w:val="22"/>
                <w:lang w:val="en-US"/>
              </w:rPr>
              <w:t xml:space="preserve"> $                            </w:t>
            </w:r>
            <w:r w:rsidRPr="002D6AB2">
              <w:rPr>
                <w:rFonts w:ascii="Calibri" w:hAnsi="Calibri" w:cs="Calibri"/>
                <w:color w:val="000000"/>
                <w:sz w:val="22"/>
                <w:szCs w:val="22"/>
                <w:lang w:val="en-US"/>
              </w:rPr>
              <w:t xml:space="preserve">-   </w:t>
            </w:r>
          </w:p>
        </w:tc>
        <w:tc>
          <w:tcPr>
            <w:tcW w:w="2720" w:type="dxa"/>
            <w:tcBorders>
              <w:top w:val="nil"/>
              <w:left w:val="nil"/>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4A3A22">
              <w:rPr>
                <w:color w:val="000000"/>
                <w:lang w:val="en-US"/>
              </w:rPr>
              <w:t>No charge to TEA for cancellation</w:t>
            </w:r>
          </w:p>
        </w:tc>
      </w:tr>
      <w:tr w:rsidR="00BC5B3C" w:rsidRPr="002D6AB2" w:rsidTr="00D65276">
        <w:trPr>
          <w:trHeight w:val="1128"/>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2D6AB2">
              <w:rPr>
                <w:rFonts w:cs="Arial"/>
                <w:color w:val="000000"/>
                <w:szCs w:val="18"/>
                <w:lang w:val="en-US"/>
              </w:rPr>
              <w:t xml:space="preserve">Cost of Cancelled P4 and P5 Requirements: </w:t>
            </w:r>
            <w:r w:rsidRPr="004A3A22">
              <w:rPr>
                <w:color w:val="000000"/>
                <w:lang w:val="en-US"/>
              </w:rPr>
              <w:t xml:space="preserve">Skyward functionality already existed prior to June 2011 or </w:t>
            </w:r>
            <w:r w:rsidRPr="002D6AB2">
              <w:rPr>
                <w:rFonts w:cs="Arial"/>
                <w:color w:val="000000"/>
                <w:szCs w:val="18"/>
                <w:lang w:val="en-US"/>
              </w:rPr>
              <w:t xml:space="preserve">acceptable </w:t>
            </w:r>
            <w:r w:rsidRPr="004A3A22">
              <w:rPr>
                <w:color w:val="000000"/>
                <w:lang w:val="en-US"/>
              </w:rPr>
              <w:t>workaround provided</w:t>
            </w:r>
            <w:r w:rsidRPr="002D6AB2">
              <w:rPr>
                <w:rFonts w:cs="Arial"/>
                <w:color w:val="000000"/>
                <w:szCs w:val="18"/>
                <w:lang w:val="en-US"/>
              </w:rPr>
              <w:t xml:space="preserve"> (11)</w:t>
            </w:r>
          </w:p>
        </w:tc>
        <w:tc>
          <w:tcPr>
            <w:tcW w:w="1880" w:type="dxa"/>
            <w:tcBorders>
              <w:top w:val="nil"/>
              <w:left w:val="nil"/>
              <w:bottom w:val="single" w:sz="4" w:space="0" w:color="auto"/>
              <w:right w:val="single" w:sz="4" w:space="0" w:color="auto"/>
            </w:tcBorders>
            <w:noWrap/>
            <w:vAlign w:val="center"/>
            <w:hideMark/>
          </w:tcPr>
          <w:p w:rsidR="00BC5B3C" w:rsidRDefault="00BC5B3C" w:rsidP="00D65276">
            <w:pPr>
              <w:spacing w:before="0" w:after="0" w:line="240" w:lineRule="auto"/>
              <w:rPr>
                <w:rFonts w:ascii="Calibri" w:hAnsi="Calibri"/>
                <w:color w:val="000000"/>
                <w:sz w:val="22"/>
                <w:lang w:val="en-US"/>
              </w:rPr>
            </w:pPr>
            <w:r>
              <w:rPr>
                <w:rFonts w:ascii="Calibri" w:hAnsi="Calibri" w:cs="Calibri"/>
                <w:color w:val="000000"/>
                <w:sz w:val="22"/>
                <w:szCs w:val="22"/>
                <w:lang w:val="en-US"/>
              </w:rPr>
              <w:t xml:space="preserve"> $                 </w:t>
            </w:r>
            <w:r w:rsidRPr="002D6AB2">
              <w:rPr>
                <w:rFonts w:ascii="Calibri" w:hAnsi="Calibri" w:cs="Calibri"/>
                <w:color w:val="000000"/>
                <w:sz w:val="22"/>
                <w:szCs w:val="22"/>
                <w:lang w:val="en-US"/>
              </w:rPr>
              <w:t>11</w:t>
            </w:r>
            <w:r w:rsidRPr="004A3A22">
              <w:rPr>
                <w:rFonts w:ascii="Calibri" w:hAnsi="Calibri"/>
                <w:color w:val="000000"/>
                <w:sz w:val="22"/>
                <w:lang w:val="en-US"/>
              </w:rPr>
              <w:t>,000</w:t>
            </w:r>
            <w:r w:rsidRPr="002D6AB2">
              <w:rPr>
                <w:rFonts w:ascii="Calibri" w:hAnsi="Calibri" w:cs="Calibri"/>
                <w:color w:val="000000"/>
                <w:sz w:val="22"/>
                <w:szCs w:val="22"/>
                <w:lang w:val="en-US"/>
              </w:rPr>
              <w:t xml:space="preserve"> </w:t>
            </w:r>
          </w:p>
        </w:tc>
        <w:tc>
          <w:tcPr>
            <w:tcW w:w="2720" w:type="dxa"/>
            <w:tcBorders>
              <w:top w:val="nil"/>
              <w:left w:val="nil"/>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2D6AB2">
              <w:rPr>
                <w:rFonts w:cs="Arial"/>
                <w:color w:val="000000"/>
                <w:szCs w:val="18"/>
                <w:lang w:val="en-US"/>
              </w:rPr>
              <w:t xml:space="preserve">Cost of </w:t>
            </w:r>
            <w:r w:rsidRPr="004A3A22">
              <w:rPr>
                <w:color w:val="000000"/>
                <w:lang w:val="en-US"/>
              </w:rPr>
              <w:t>$1,000 per each cancellation for requirements analysis</w:t>
            </w:r>
          </w:p>
        </w:tc>
      </w:tr>
      <w:tr w:rsidR="00BC5B3C" w:rsidRPr="002D6AB2" w:rsidTr="00D65276">
        <w:trPr>
          <w:trHeight w:val="924"/>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2D6AB2">
              <w:rPr>
                <w:rFonts w:cs="Arial"/>
                <w:color w:val="000000"/>
                <w:szCs w:val="18"/>
                <w:lang w:val="en-US"/>
              </w:rPr>
              <w:t xml:space="preserve">Cost of Cancelled P4 and P5 Requirements: </w:t>
            </w:r>
            <w:r w:rsidRPr="004A3A22">
              <w:rPr>
                <w:color w:val="000000"/>
                <w:lang w:val="en-US"/>
              </w:rPr>
              <w:t>TEA cancels due to requirements not validated</w:t>
            </w:r>
            <w:r w:rsidRPr="002D6AB2">
              <w:rPr>
                <w:rFonts w:cs="Arial"/>
                <w:color w:val="000000"/>
                <w:szCs w:val="18"/>
                <w:lang w:val="en-US"/>
              </w:rPr>
              <w:t xml:space="preserve"> (8)</w:t>
            </w:r>
          </w:p>
        </w:tc>
        <w:tc>
          <w:tcPr>
            <w:tcW w:w="1880" w:type="dxa"/>
            <w:tcBorders>
              <w:top w:val="nil"/>
              <w:left w:val="nil"/>
              <w:bottom w:val="single" w:sz="4" w:space="0" w:color="auto"/>
              <w:right w:val="single" w:sz="4" w:space="0" w:color="auto"/>
            </w:tcBorders>
            <w:noWrap/>
            <w:vAlign w:val="center"/>
            <w:hideMark/>
          </w:tcPr>
          <w:p w:rsidR="00BC5B3C" w:rsidRDefault="00BC5B3C" w:rsidP="00D65276">
            <w:pPr>
              <w:spacing w:before="0" w:after="0" w:line="240" w:lineRule="auto"/>
              <w:rPr>
                <w:rFonts w:ascii="Calibri" w:hAnsi="Calibri"/>
                <w:color w:val="000000"/>
                <w:sz w:val="22"/>
                <w:lang w:val="en-US"/>
              </w:rPr>
            </w:pPr>
            <w:r>
              <w:rPr>
                <w:rFonts w:ascii="Calibri" w:hAnsi="Calibri" w:cs="Calibri"/>
                <w:color w:val="000000"/>
                <w:sz w:val="22"/>
                <w:szCs w:val="22"/>
                <w:lang w:val="en-US"/>
              </w:rPr>
              <w:t xml:space="preserve"> $                    </w:t>
            </w:r>
            <w:r w:rsidRPr="002D6AB2">
              <w:rPr>
                <w:rFonts w:ascii="Calibri" w:hAnsi="Calibri" w:cs="Calibri"/>
                <w:color w:val="000000"/>
                <w:sz w:val="22"/>
                <w:szCs w:val="22"/>
                <w:lang w:val="en-US"/>
              </w:rPr>
              <w:t>8</w:t>
            </w:r>
            <w:r w:rsidRPr="004A3A22">
              <w:rPr>
                <w:rFonts w:ascii="Calibri" w:hAnsi="Calibri"/>
                <w:color w:val="000000"/>
                <w:sz w:val="22"/>
                <w:lang w:val="en-US"/>
              </w:rPr>
              <w:t xml:space="preserve">,000 </w:t>
            </w:r>
          </w:p>
        </w:tc>
        <w:tc>
          <w:tcPr>
            <w:tcW w:w="2720" w:type="dxa"/>
            <w:tcBorders>
              <w:top w:val="nil"/>
              <w:left w:val="nil"/>
              <w:bottom w:val="single" w:sz="4" w:space="0" w:color="auto"/>
              <w:right w:val="single" w:sz="4" w:space="0" w:color="auto"/>
            </w:tcBorders>
            <w:shd w:val="clear" w:color="auto" w:fill="auto"/>
            <w:vAlign w:val="center"/>
            <w:hideMark/>
          </w:tcPr>
          <w:p w:rsidR="00BC5B3C" w:rsidRDefault="00BC5B3C" w:rsidP="00D65276">
            <w:pPr>
              <w:spacing w:before="0" w:after="0" w:line="240" w:lineRule="auto"/>
              <w:rPr>
                <w:color w:val="000000"/>
                <w:lang w:val="en-US"/>
              </w:rPr>
            </w:pPr>
            <w:r w:rsidRPr="002D6AB2">
              <w:rPr>
                <w:rFonts w:cs="Arial"/>
                <w:color w:val="000000"/>
                <w:szCs w:val="18"/>
                <w:lang w:val="en-US"/>
              </w:rPr>
              <w:t xml:space="preserve">Cost of </w:t>
            </w:r>
            <w:r w:rsidRPr="004A3A22">
              <w:rPr>
                <w:color w:val="000000"/>
                <w:lang w:val="en-US"/>
              </w:rPr>
              <w:t>$1,000 per each cancellation for requirements analysis</w:t>
            </w:r>
          </w:p>
        </w:tc>
      </w:tr>
      <w:tr w:rsidR="00BC5B3C" w:rsidRPr="002D6AB2" w:rsidTr="00D65276">
        <w:trPr>
          <w:trHeight w:val="696"/>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C5B3C" w:rsidRPr="00D65276" w:rsidRDefault="00BC5B3C" w:rsidP="00D65276">
            <w:pPr>
              <w:spacing w:before="0" w:after="0" w:line="240" w:lineRule="auto"/>
              <w:rPr>
                <w:color w:val="000000"/>
                <w:highlight w:val="yellow"/>
                <w:lang w:val="en-US"/>
              </w:rPr>
            </w:pPr>
            <w:r w:rsidRPr="00D65276">
              <w:rPr>
                <w:rFonts w:cs="Arial"/>
                <w:color w:val="000000"/>
                <w:szCs w:val="18"/>
                <w:highlight w:val="yellow"/>
                <w:lang w:val="en-US"/>
              </w:rPr>
              <w:t>Cost of Added Enhancements: Substituted for those that were cancelled (21)</w:t>
            </w:r>
          </w:p>
        </w:tc>
        <w:tc>
          <w:tcPr>
            <w:tcW w:w="1880" w:type="dxa"/>
            <w:tcBorders>
              <w:top w:val="nil"/>
              <w:left w:val="nil"/>
              <w:bottom w:val="single" w:sz="4" w:space="0" w:color="auto"/>
              <w:right w:val="single" w:sz="4" w:space="0" w:color="auto"/>
            </w:tcBorders>
            <w:noWrap/>
            <w:vAlign w:val="center"/>
            <w:hideMark/>
          </w:tcPr>
          <w:p w:rsidR="00BC5B3C" w:rsidRPr="00D65276" w:rsidRDefault="00BC5B3C" w:rsidP="00D65276">
            <w:pPr>
              <w:spacing w:before="0" w:after="0" w:line="240" w:lineRule="auto"/>
              <w:rPr>
                <w:rFonts w:ascii="Calibri" w:hAnsi="Calibri"/>
                <w:color w:val="000000"/>
                <w:sz w:val="22"/>
                <w:highlight w:val="yellow"/>
                <w:lang w:val="en-US"/>
              </w:rPr>
            </w:pPr>
            <w:r w:rsidRPr="00D65276">
              <w:rPr>
                <w:rFonts w:ascii="Calibri" w:hAnsi="Calibri" w:cs="Calibri"/>
                <w:color w:val="000000"/>
                <w:sz w:val="22"/>
                <w:szCs w:val="22"/>
                <w:highlight w:val="yellow"/>
                <w:lang w:val="en-US"/>
              </w:rPr>
              <w:t xml:space="preserve"> $               </w:t>
            </w:r>
            <w:r w:rsidR="00554E42" w:rsidRPr="00D65276">
              <w:rPr>
                <w:rFonts w:ascii="Calibri" w:hAnsi="Calibri" w:cs="Calibri"/>
                <w:color w:val="000000"/>
                <w:sz w:val="22"/>
                <w:szCs w:val="22"/>
                <w:highlight w:val="yellow"/>
                <w:lang w:val="en-US"/>
              </w:rPr>
              <w:t>287,760</w:t>
            </w:r>
            <w:r w:rsidRPr="00D65276">
              <w:rPr>
                <w:rFonts w:ascii="Calibri" w:hAnsi="Calibri" w:cs="Calibri"/>
                <w:color w:val="000000"/>
                <w:sz w:val="22"/>
                <w:szCs w:val="22"/>
                <w:highlight w:val="yellow"/>
                <w:lang w:val="en-US"/>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BC5B3C" w:rsidRDefault="00BC5B3C" w:rsidP="00D65276">
            <w:pPr>
              <w:spacing w:before="0" w:after="0" w:line="240" w:lineRule="auto"/>
              <w:rPr>
                <w:rFonts w:ascii="Calibri" w:hAnsi="Calibri"/>
                <w:color w:val="000000"/>
                <w:sz w:val="22"/>
                <w:lang w:val="en-US"/>
              </w:rPr>
            </w:pPr>
            <w:r w:rsidRPr="002D6AB2">
              <w:rPr>
                <w:rFonts w:ascii="Calibri" w:hAnsi="Calibri" w:cs="Calibri"/>
                <w:color w:val="000000"/>
                <w:sz w:val="22"/>
                <w:szCs w:val="22"/>
                <w:lang w:val="en-US"/>
              </w:rPr>
              <w:t> </w:t>
            </w:r>
          </w:p>
        </w:tc>
      </w:tr>
      <w:tr w:rsidR="00BC5B3C" w:rsidRPr="002D6AB2" w:rsidTr="00D65276">
        <w:trPr>
          <w:trHeight w:val="696"/>
        </w:trPr>
        <w:tc>
          <w:tcPr>
            <w:tcW w:w="3400" w:type="dxa"/>
            <w:tcBorders>
              <w:top w:val="nil"/>
              <w:left w:val="single" w:sz="4" w:space="0" w:color="auto"/>
              <w:bottom w:val="single" w:sz="4" w:space="0" w:color="auto"/>
              <w:right w:val="single" w:sz="4" w:space="0" w:color="auto"/>
            </w:tcBorders>
            <w:shd w:val="clear" w:color="auto" w:fill="auto"/>
            <w:vAlign w:val="center"/>
            <w:hideMark/>
          </w:tcPr>
          <w:p w:rsidR="00BC5B3C" w:rsidRPr="00D65276" w:rsidRDefault="00BC5B3C" w:rsidP="00D65276">
            <w:pPr>
              <w:spacing w:before="0" w:after="0" w:line="240" w:lineRule="auto"/>
              <w:rPr>
                <w:rFonts w:ascii="Calibri" w:hAnsi="Calibri" w:cs="Calibri"/>
                <w:b/>
                <w:bCs/>
                <w:color w:val="000000"/>
                <w:sz w:val="22"/>
                <w:szCs w:val="22"/>
                <w:highlight w:val="yellow"/>
                <w:lang w:val="en-US"/>
              </w:rPr>
            </w:pPr>
            <w:r w:rsidRPr="00D65276">
              <w:rPr>
                <w:rFonts w:ascii="Calibri" w:hAnsi="Calibri" w:cs="Calibri"/>
                <w:b/>
                <w:bCs/>
                <w:color w:val="000000"/>
                <w:sz w:val="22"/>
                <w:szCs w:val="22"/>
                <w:highlight w:val="yellow"/>
                <w:lang w:val="en-US"/>
              </w:rPr>
              <w:t>Total Revised Cost of Functional Enhancements for FY 2013</w:t>
            </w:r>
          </w:p>
        </w:tc>
        <w:tc>
          <w:tcPr>
            <w:tcW w:w="1880" w:type="dxa"/>
            <w:tcBorders>
              <w:top w:val="nil"/>
              <w:left w:val="nil"/>
              <w:bottom w:val="single" w:sz="4" w:space="0" w:color="auto"/>
              <w:right w:val="single" w:sz="4" w:space="0" w:color="auto"/>
            </w:tcBorders>
            <w:shd w:val="clear" w:color="auto" w:fill="auto"/>
            <w:noWrap/>
            <w:vAlign w:val="center"/>
            <w:hideMark/>
          </w:tcPr>
          <w:p w:rsidR="00BC5B3C" w:rsidRPr="00D65276" w:rsidRDefault="00BC5B3C" w:rsidP="00D65276">
            <w:pPr>
              <w:spacing w:before="0" w:after="0" w:line="240" w:lineRule="auto"/>
              <w:rPr>
                <w:rFonts w:ascii="Calibri" w:hAnsi="Calibri" w:cs="Calibri"/>
                <w:b/>
                <w:bCs/>
                <w:color w:val="000000"/>
                <w:sz w:val="22"/>
                <w:szCs w:val="22"/>
                <w:highlight w:val="yellow"/>
                <w:lang w:val="en-US"/>
              </w:rPr>
            </w:pPr>
            <w:r w:rsidRPr="00D65276">
              <w:rPr>
                <w:rFonts w:ascii="Calibri" w:hAnsi="Calibri" w:cs="Calibri"/>
                <w:b/>
                <w:bCs/>
                <w:color w:val="000000"/>
                <w:sz w:val="22"/>
                <w:szCs w:val="22"/>
                <w:highlight w:val="yellow"/>
                <w:lang w:val="en-US"/>
              </w:rPr>
              <w:t xml:space="preserve"> $               </w:t>
            </w:r>
            <w:r w:rsidR="00554E42" w:rsidRPr="00D65276">
              <w:rPr>
                <w:rFonts w:ascii="Calibri" w:hAnsi="Calibri" w:cs="Calibri"/>
                <w:b/>
                <w:bCs/>
                <w:color w:val="000000"/>
                <w:sz w:val="22"/>
                <w:szCs w:val="22"/>
                <w:highlight w:val="yellow"/>
                <w:lang w:val="en-US"/>
              </w:rPr>
              <w:t>396,175</w:t>
            </w:r>
            <w:r w:rsidRPr="00D65276">
              <w:rPr>
                <w:rFonts w:ascii="Calibri" w:hAnsi="Calibri" w:cs="Calibri"/>
                <w:b/>
                <w:bCs/>
                <w:color w:val="000000"/>
                <w:sz w:val="22"/>
                <w:szCs w:val="22"/>
                <w:highlight w:val="yellow"/>
                <w:lang w:val="en-US"/>
              </w:rPr>
              <w:t xml:space="preserve"> </w:t>
            </w:r>
          </w:p>
        </w:tc>
        <w:tc>
          <w:tcPr>
            <w:tcW w:w="2720" w:type="dxa"/>
            <w:tcBorders>
              <w:top w:val="nil"/>
              <w:left w:val="nil"/>
              <w:bottom w:val="single" w:sz="4" w:space="0" w:color="auto"/>
              <w:right w:val="single" w:sz="4" w:space="0" w:color="auto"/>
            </w:tcBorders>
            <w:shd w:val="clear" w:color="auto" w:fill="auto"/>
            <w:noWrap/>
            <w:vAlign w:val="bottom"/>
            <w:hideMark/>
          </w:tcPr>
          <w:p w:rsidR="00BC5B3C" w:rsidRPr="002D6AB2" w:rsidRDefault="00BC5B3C" w:rsidP="00D65276">
            <w:pPr>
              <w:spacing w:before="0" w:after="0" w:line="240" w:lineRule="auto"/>
              <w:rPr>
                <w:rFonts w:ascii="Calibri" w:hAnsi="Calibri" w:cs="Calibri"/>
                <w:color w:val="000000"/>
                <w:sz w:val="22"/>
                <w:szCs w:val="22"/>
                <w:lang w:val="en-US"/>
              </w:rPr>
            </w:pPr>
            <w:r w:rsidRPr="002D6AB2">
              <w:rPr>
                <w:rFonts w:ascii="Calibri" w:hAnsi="Calibri" w:cs="Calibri"/>
                <w:color w:val="000000"/>
                <w:sz w:val="22"/>
                <w:szCs w:val="22"/>
                <w:lang w:val="en-US"/>
              </w:rPr>
              <w:t> </w:t>
            </w:r>
          </w:p>
        </w:tc>
      </w:tr>
      <w:tr w:rsidR="00BC5B3C" w:rsidRPr="002D6AB2" w:rsidTr="00D65276">
        <w:trPr>
          <w:trHeight w:val="576"/>
        </w:trPr>
        <w:tc>
          <w:tcPr>
            <w:tcW w:w="3400" w:type="dxa"/>
            <w:tcBorders>
              <w:top w:val="nil"/>
              <w:left w:val="single" w:sz="4" w:space="0" w:color="auto"/>
              <w:bottom w:val="single" w:sz="4" w:space="0" w:color="auto"/>
              <w:right w:val="single" w:sz="4" w:space="0" w:color="auto"/>
            </w:tcBorders>
            <w:shd w:val="clear" w:color="auto" w:fill="auto"/>
            <w:vAlign w:val="bottom"/>
            <w:hideMark/>
          </w:tcPr>
          <w:p w:rsidR="00BC5B3C" w:rsidRPr="00D65276" w:rsidRDefault="00BC5B3C" w:rsidP="00D65276">
            <w:pPr>
              <w:spacing w:before="0" w:after="0" w:line="240" w:lineRule="auto"/>
              <w:rPr>
                <w:rFonts w:ascii="Calibri" w:hAnsi="Calibri" w:cs="Calibri"/>
                <w:color w:val="000000"/>
                <w:sz w:val="22"/>
                <w:szCs w:val="22"/>
                <w:highlight w:val="yellow"/>
                <w:lang w:val="en-US"/>
              </w:rPr>
            </w:pPr>
            <w:r w:rsidRPr="00D65276">
              <w:rPr>
                <w:rFonts w:ascii="Calibri" w:hAnsi="Calibri" w:cs="Calibri"/>
                <w:color w:val="000000"/>
                <w:sz w:val="22"/>
                <w:szCs w:val="22"/>
                <w:highlight w:val="yellow"/>
                <w:lang w:val="en-US"/>
              </w:rPr>
              <w:t>Total Cost of Requirements remaining on contract for FY 2013</w:t>
            </w:r>
          </w:p>
        </w:tc>
        <w:tc>
          <w:tcPr>
            <w:tcW w:w="1880" w:type="dxa"/>
            <w:tcBorders>
              <w:top w:val="nil"/>
              <w:left w:val="nil"/>
              <w:bottom w:val="single" w:sz="4" w:space="0" w:color="auto"/>
              <w:right w:val="single" w:sz="4" w:space="0" w:color="auto"/>
            </w:tcBorders>
            <w:shd w:val="clear" w:color="auto" w:fill="auto"/>
            <w:noWrap/>
            <w:vAlign w:val="bottom"/>
            <w:hideMark/>
          </w:tcPr>
          <w:p w:rsidR="00BC5B3C" w:rsidRPr="00D65276" w:rsidRDefault="00BC5B3C" w:rsidP="00D65276">
            <w:pPr>
              <w:spacing w:before="0" w:after="0" w:line="240" w:lineRule="auto"/>
              <w:rPr>
                <w:rFonts w:ascii="Calibri" w:hAnsi="Calibri" w:cs="Calibri"/>
                <w:color w:val="000000"/>
                <w:sz w:val="22"/>
                <w:szCs w:val="22"/>
                <w:highlight w:val="yellow"/>
                <w:lang w:val="en-US"/>
              </w:rPr>
            </w:pPr>
            <w:r w:rsidRPr="00D65276">
              <w:rPr>
                <w:rFonts w:ascii="Calibri" w:hAnsi="Calibri" w:cs="Calibri"/>
                <w:color w:val="000000"/>
                <w:sz w:val="22"/>
                <w:szCs w:val="22"/>
                <w:highlight w:val="yellow"/>
                <w:lang w:val="en-US"/>
              </w:rPr>
              <w:t xml:space="preserve"> $               396,175 </w:t>
            </w:r>
          </w:p>
        </w:tc>
        <w:tc>
          <w:tcPr>
            <w:tcW w:w="2720" w:type="dxa"/>
            <w:tcBorders>
              <w:top w:val="nil"/>
              <w:left w:val="nil"/>
              <w:bottom w:val="single" w:sz="4" w:space="0" w:color="auto"/>
              <w:right w:val="single" w:sz="4" w:space="0" w:color="auto"/>
            </w:tcBorders>
            <w:shd w:val="clear" w:color="auto" w:fill="auto"/>
            <w:noWrap/>
            <w:vAlign w:val="bottom"/>
            <w:hideMark/>
          </w:tcPr>
          <w:p w:rsidR="00BC5B3C" w:rsidRPr="002D6AB2" w:rsidRDefault="00BC5B3C" w:rsidP="00D65276">
            <w:pPr>
              <w:spacing w:before="0" w:after="0" w:line="240" w:lineRule="auto"/>
              <w:rPr>
                <w:rFonts w:ascii="Calibri" w:hAnsi="Calibri" w:cs="Calibri"/>
                <w:color w:val="000000"/>
                <w:sz w:val="22"/>
                <w:szCs w:val="22"/>
                <w:lang w:val="en-US"/>
              </w:rPr>
            </w:pPr>
            <w:r w:rsidRPr="002D6AB2">
              <w:rPr>
                <w:rFonts w:ascii="Calibri" w:hAnsi="Calibri" w:cs="Calibri"/>
                <w:color w:val="000000"/>
                <w:sz w:val="22"/>
                <w:szCs w:val="22"/>
                <w:lang w:val="en-US"/>
              </w:rPr>
              <w:t> </w:t>
            </w:r>
          </w:p>
        </w:tc>
      </w:tr>
    </w:tbl>
    <w:p w:rsidR="002D6AB2" w:rsidRPr="0084174F" w:rsidRDefault="002D6AB2" w:rsidP="00AB60B4">
      <w:pPr>
        <w:pStyle w:val="Body"/>
      </w:pPr>
    </w:p>
    <w:p w:rsidR="00842D3A" w:rsidRPr="004E3CD6" w:rsidRDefault="00CB10A9" w:rsidP="00842D3A">
      <w:pPr>
        <w:pStyle w:val="H2"/>
      </w:pPr>
      <w:r w:rsidRPr="004E3CD6">
        <w:t>One-</w:t>
      </w:r>
      <w:r w:rsidR="00842D3A" w:rsidRPr="004E3CD6">
        <w:t>Time Setup Charges</w:t>
      </w:r>
    </w:p>
    <w:p w:rsidR="00842D3A" w:rsidRPr="004E3CD6" w:rsidRDefault="00842D3A" w:rsidP="00842D3A">
      <w:pPr>
        <w:pStyle w:val="Body"/>
      </w:pPr>
      <w:r w:rsidRPr="004E3CD6">
        <w:t xml:space="preserve">TEA will pay the Vendor for services rendered to </w:t>
      </w:r>
      <w:proofErr w:type="spellStart"/>
      <w:r w:rsidRPr="004E3CD6">
        <w:t>fulfil</w:t>
      </w:r>
      <w:r w:rsidR="0014607A" w:rsidRPr="004E3CD6">
        <w:t>l</w:t>
      </w:r>
      <w:proofErr w:type="spellEnd"/>
      <w:r w:rsidRPr="004E3CD6">
        <w:t xml:space="preserve"> the software escrow and data </w:t>
      </w:r>
      <w:proofErr w:type="spellStart"/>
      <w:r w:rsidRPr="004E3CD6">
        <w:t>center</w:t>
      </w:r>
      <w:proofErr w:type="spellEnd"/>
      <w:r w:rsidRPr="004E3CD6">
        <w:t xml:space="preserve"> setup requirements.</w:t>
      </w:r>
    </w:p>
    <w:p w:rsidR="00BA4CCE" w:rsidRDefault="00842D3A">
      <w:pPr>
        <w:pStyle w:val="H3"/>
        <w:ind w:left="0" w:hanging="18"/>
      </w:pPr>
      <w:r w:rsidRPr="004E3CD6">
        <w:t>Escrow Services</w:t>
      </w:r>
    </w:p>
    <w:p w:rsidR="000A51EC" w:rsidRPr="004E3CD6" w:rsidRDefault="000A51EC" w:rsidP="000A51EC">
      <w:pPr>
        <w:pStyle w:val="Body"/>
      </w:pPr>
      <w:r w:rsidRPr="004E3CD6">
        <w:t>The SSIS solution vendor has a requirement to maintain complete and up-to-date copies of all software (source code and all necessary components) in escrow to support business continuity. The Vendor must ensure that the SSIS solution can be build from the source code in escrow.</w:t>
      </w:r>
    </w:p>
    <w:p w:rsidR="00842D3A" w:rsidRPr="004E3CD6" w:rsidRDefault="00842D3A" w:rsidP="00842D3A">
      <w:pPr>
        <w:pStyle w:val="Body"/>
      </w:pPr>
      <w:r w:rsidRPr="004E3CD6">
        <w:t xml:space="preserve">TEA </w:t>
      </w:r>
      <w:r w:rsidR="0010095D">
        <w:t>paid</w:t>
      </w:r>
      <w:r w:rsidRPr="004E3CD6">
        <w:t xml:space="preserve"> the Vendor a payment</w:t>
      </w:r>
      <w:r w:rsidR="000A51EC" w:rsidRPr="004E3CD6">
        <w:t xml:space="preserve"> of $57,000</w:t>
      </w:r>
      <w:r w:rsidRPr="004E3CD6">
        <w:t xml:space="preserve"> </w:t>
      </w:r>
      <w:r w:rsidR="00CB10A9" w:rsidRPr="004E3CD6">
        <w:t xml:space="preserve">in FY 2011 </w:t>
      </w:r>
      <w:r w:rsidR="000A51EC" w:rsidRPr="004E3CD6">
        <w:t xml:space="preserve">for escrow services within 30 days of </w:t>
      </w:r>
      <w:r w:rsidR="0014607A" w:rsidRPr="004E3CD6">
        <w:t xml:space="preserve">invoice and </w:t>
      </w:r>
      <w:r w:rsidR="000A51EC" w:rsidRPr="004E3CD6">
        <w:t>Vendor delivery of:</w:t>
      </w:r>
    </w:p>
    <w:p w:rsidR="000A51EC" w:rsidRPr="004E3CD6" w:rsidRDefault="00E84293" w:rsidP="000A51EC">
      <w:pPr>
        <w:pStyle w:val="bulletedlist"/>
      </w:pPr>
      <w:r w:rsidRPr="004E3CD6">
        <w:t>A signed agreement</w:t>
      </w:r>
      <w:r w:rsidR="000A51EC" w:rsidRPr="004E3CD6">
        <w:t xml:space="preserve"> between the Vendor and Iron Mountain </w:t>
      </w:r>
      <w:r w:rsidRPr="004E3CD6">
        <w:t xml:space="preserve">Inc. </w:t>
      </w:r>
      <w:r w:rsidR="000A51EC" w:rsidRPr="004E3CD6">
        <w:t>creating the escrow account</w:t>
      </w:r>
    </w:p>
    <w:p w:rsidR="000A51EC" w:rsidRPr="004E3CD6" w:rsidRDefault="00E84293" w:rsidP="000A51EC">
      <w:pPr>
        <w:pStyle w:val="bulletedlist"/>
      </w:pPr>
      <w:r w:rsidRPr="004E3CD6">
        <w:t>Verification from Iron Mountain Inc. that a current copy of the SSIS is stored in the escrow account</w:t>
      </w:r>
    </w:p>
    <w:p w:rsidR="00BA4CCE" w:rsidRDefault="00842D3A">
      <w:pPr>
        <w:pStyle w:val="H3"/>
        <w:ind w:left="0" w:hanging="18"/>
      </w:pPr>
      <w:r w:rsidRPr="004E3CD6">
        <w:t xml:space="preserve">Texas </w:t>
      </w:r>
      <w:r w:rsidR="008A5DD3" w:rsidRPr="004E3CD6">
        <w:t xml:space="preserve">Data Center </w:t>
      </w:r>
      <w:r w:rsidRPr="004E3CD6">
        <w:t>Setup</w:t>
      </w:r>
    </w:p>
    <w:p w:rsidR="00E84293" w:rsidRPr="004E3CD6" w:rsidRDefault="00E84293" w:rsidP="00E84293">
      <w:pPr>
        <w:pStyle w:val="Body"/>
        <w:rPr>
          <w:rFonts w:cs="Arial"/>
        </w:rPr>
      </w:pPr>
      <w:r w:rsidRPr="004E3CD6">
        <w:rPr>
          <w:rFonts w:cs="Arial"/>
        </w:rPr>
        <w:lastRenderedPageBreak/>
        <w:t xml:space="preserve">The Vendor has a requirement to deploy the SSIS in a configuration that includes at least two (2) data </w:t>
      </w:r>
      <w:proofErr w:type="spellStart"/>
      <w:r w:rsidRPr="004E3CD6">
        <w:rPr>
          <w:rFonts w:cs="Arial"/>
        </w:rPr>
        <w:t>centers</w:t>
      </w:r>
      <w:proofErr w:type="spellEnd"/>
      <w:r w:rsidRPr="004E3CD6">
        <w:rPr>
          <w:rFonts w:cs="Arial"/>
        </w:rPr>
        <w:t xml:space="preserve"> with mutual failover capabilities, and at least one must be located in Texas.</w:t>
      </w:r>
    </w:p>
    <w:p w:rsidR="002B1655" w:rsidRPr="004E3CD6" w:rsidRDefault="00E84293" w:rsidP="00E84293">
      <w:pPr>
        <w:pStyle w:val="Body"/>
        <w:rPr>
          <w:rFonts w:cs="Arial"/>
        </w:rPr>
      </w:pPr>
      <w:r w:rsidRPr="004E3CD6">
        <w:rPr>
          <w:rFonts w:cs="Arial"/>
        </w:rPr>
        <w:t xml:space="preserve">TEA will pay the Vendor a payment of $405,000 in FY 2012 for </w:t>
      </w:r>
      <w:r w:rsidR="002B1655" w:rsidRPr="004E3CD6">
        <w:rPr>
          <w:rFonts w:cs="Arial"/>
        </w:rPr>
        <w:t>creating</w:t>
      </w:r>
      <w:r w:rsidRPr="004E3CD6">
        <w:rPr>
          <w:rFonts w:cs="Arial"/>
        </w:rPr>
        <w:t xml:space="preserve"> </w:t>
      </w:r>
      <w:r w:rsidR="002B1655" w:rsidRPr="004E3CD6">
        <w:rPr>
          <w:rFonts w:cs="Arial"/>
        </w:rPr>
        <w:t>a</w:t>
      </w:r>
      <w:r w:rsidRPr="004E3CD6">
        <w:rPr>
          <w:rFonts w:cs="Arial"/>
        </w:rPr>
        <w:t xml:space="preserve"> Texas data </w:t>
      </w:r>
      <w:proofErr w:type="spellStart"/>
      <w:r w:rsidRPr="004E3CD6">
        <w:rPr>
          <w:rFonts w:cs="Arial"/>
        </w:rPr>
        <w:t>center</w:t>
      </w:r>
      <w:proofErr w:type="spellEnd"/>
      <w:r w:rsidRPr="004E3CD6">
        <w:rPr>
          <w:rFonts w:cs="Arial"/>
        </w:rPr>
        <w:t xml:space="preserve"> in the Dallas area </w:t>
      </w:r>
      <w:r w:rsidR="002B1655" w:rsidRPr="004E3CD6">
        <w:rPr>
          <w:rFonts w:cs="Arial"/>
        </w:rPr>
        <w:t xml:space="preserve">by </w:t>
      </w:r>
      <w:r w:rsidRPr="004E3CD6">
        <w:rPr>
          <w:rFonts w:cs="Arial"/>
        </w:rPr>
        <w:t xml:space="preserve">no later than December, 2011. </w:t>
      </w:r>
      <w:r w:rsidR="00EF0DD9" w:rsidRPr="004E3CD6">
        <w:rPr>
          <w:rFonts w:cs="Arial"/>
        </w:rPr>
        <w:t xml:space="preserve">This includes </w:t>
      </w:r>
      <w:r w:rsidR="00FD155C" w:rsidRPr="004E3CD6">
        <w:rPr>
          <w:rFonts w:cs="Arial"/>
        </w:rPr>
        <w:t>any fees associated with</w:t>
      </w:r>
      <w:r w:rsidR="002B1655" w:rsidRPr="004E3CD6">
        <w:rPr>
          <w:rFonts w:cs="Arial"/>
        </w:rPr>
        <w:t xml:space="preserve"> testing and deployment of the following:</w:t>
      </w:r>
    </w:p>
    <w:p w:rsidR="002B1655" w:rsidRPr="004E3CD6" w:rsidRDefault="002B1655" w:rsidP="00E84293">
      <w:pPr>
        <w:pStyle w:val="Body"/>
        <w:numPr>
          <w:ilvl w:val="0"/>
          <w:numId w:val="16"/>
        </w:numPr>
        <w:rPr>
          <w:rFonts w:cs="Arial"/>
        </w:rPr>
      </w:pPr>
      <w:r w:rsidRPr="004E3CD6">
        <w:rPr>
          <w:rFonts w:cs="Arial"/>
        </w:rPr>
        <w:t>I</w:t>
      </w:r>
      <w:r w:rsidR="00FD155C" w:rsidRPr="004E3CD6">
        <w:rPr>
          <w:rFonts w:cs="Arial"/>
        </w:rPr>
        <w:t xml:space="preserve">nstallation and </w:t>
      </w:r>
      <w:r w:rsidR="00EF0DD9" w:rsidRPr="004E3CD6">
        <w:rPr>
          <w:rFonts w:cs="Arial"/>
        </w:rPr>
        <w:t>deployment</w:t>
      </w:r>
      <w:r w:rsidRPr="004E3CD6">
        <w:rPr>
          <w:rFonts w:cs="Arial"/>
        </w:rPr>
        <w:t xml:space="preserve"> of h</w:t>
      </w:r>
      <w:r w:rsidR="00EF0DD9" w:rsidRPr="004E3CD6">
        <w:rPr>
          <w:rFonts w:cs="Arial"/>
        </w:rPr>
        <w:t>ardware infrastructure</w:t>
      </w:r>
    </w:p>
    <w:p w:rsidR="002B1655" w:rsidRPr="004E3CD6" w:rsidRDefault="002B1655" w:rsidP="002B1655">
      <w:pPr>
        <w:pStyle w:val="Body"/>
        <w:numPr>
          <w:ilvl w:val="0"/>
          <w:numId w:val="16"/>
        </w:numPr>
        <w:rPr>
          <w:rFonts w:cs="Arial"/>
        </w:rPr>
      </w:pPr>
      <w:r w:rsidRPr="004E3CD6">
        <w:rPr>
          <w:rFonts w:cs="Arial"/>
        </w:rPr>
        <w:t>N</w:t>
      </w:r>
      <w:r w:rsidR="00EF0DD9" w:rsidRPr="004E3CD6">
        <w:rPr>
          <w:rFonts w:cs="Arial"/>
        </w:rPr>
        <w:t>etwork deployment and configuration</w:t>
      </w:r>
      <w:r w:rsidRPr="004E3CD6">
        <w:rPr>
          <w:rFonts w:cs="Arial"/>
        </w:rPr>
        <w:t>, to include operating system licensing</w:t>
      </w:r>
    </w:p>
    <w:p w:rsidR="002B1655" w:rsidRPr="004E3CD6" w:rsidRDefault="002B1655" w:rsidP="00E84293">
      <w:pPr>
        <w:pStyle w:val="Body"/>
        <w:numPr>
          <w:ilvl w:val="0"/>
          <w:numId w:val="16"/>
        </w:numPr>
        <w:rPr>
          <w:rFonts w:cs="Arial"/>
        </w:rPr>
      </w:pPr>
      <w:r w:rsidRPr="004E3CD6">
        <w:rPr>
          <w:rFonts w:cs="Arial"/>
        </w:rPr>
        <w:t>D</w:t>
      </w:r>
      <w:r w:rsidR="00EF0DD9" w:rsidRPr="004E3CD6">
        <w:rPr>
          <w:rFonts w:cs="Arial"/>
        </w:rPr>
        <w:t xml:space="preserve">eployment of </w:t>
      </w:r>
      <w:r w:rsidRPr="004E3CD6">
        <w:rPr>
          <w:rFonts w:cs="Arial"/>
        </w:rPr>
        <w:t xml:space="preserve">all components of </w:t>
      </w:r>
      <w:r w:rsidR="00EF0DD9" w:rsidRPr="004E3CD6">
        <w:rPr>
          <w:rFonts w:cs="Arial"/>
        </w:rPr>
        <w:t>the SSIS application</w:t>
      </w:r>
      <w:r w:rsidRPr="004E3CD6">
        <w:rPr>
          <w:rFonts w:cs="Arial"/>
        </w:rPr>
        <w:t xml:space="preserve"> </w:t>
      </w:r>
    </w:p>
    <w:p w:rsidR="002B1655" w:rsidRPr="004E3CD6" w:rsidRDefault="002B1655" w:rsidP="00E84293">
      <w:pPr>
        <w:pStyle w:val="Body"/>
        <w:numPr>
          <w:ilvl w:val="0"/>
          <w:numId w:val="16"/>
        </w:numPr>
        <w:rPr>
          <w:rFonts w:cs="Arial"/>
        </w:rPr>
      </w:pPr>
      <w:r w:rsidRPr="004E3CD6">
        <w:rPr>
          <w:rFonts w:cs="Arial"/>
        </w:rPr>
        <w:t xml:space="preserve">Deployment of the first SSIS customer </w:t>
      </w:r>
    </w:p>
    <w:p w:rsidR="002B1655" w:rsidRPr="004E3CD6" w:rsidRDefault="002B1655" w:rsidP="00E84293">
      <w:pPr>
        <w:pStyle w:val="Body"/>
        <w:numPr>
          <w:ilvl w:val="0"/>
          <w:numId w:val="16"/>
        </w:numPr>
        <w:rPr>
          <w:rFonts w:cs="Arial"/>
        </w:rPr>
      </w:pPr>
      <w:r w:rsidRPr="004E3CD6">
        <w:rPr>
          <w:rFonts w:cs="Arial"/>
        </w:rPr>
        <w:t>Migration of existing Texas Skyward customers</w:t>
      </w:r>
      <w:r w:rsidR="002205C5" w:rsidRPr="004E3CD6">
        <w:rPr>
          <w:rFonts w:cs="Arial"/>
        </w:rPr>
        <w:t xml:space="preserve"> </w:t>
      </w:r>
      <w:r w:rsidR="00112561">
        <w:rPr>
          <w:rFonts w:cs="Arial"/>
        </w:rPr>
        <w:t>at Skyward’s discretion</w:t>
      </w:r>
      <w:r w:rsidR="002205C5" w:rsidRPr="004E3CD6">
        <w:rPr>
          <w:rFonts w:cs="Arial"/>
        </w:rPr>
        <w:t xml:space="preserve"> at contract renewal or D</w:t>
      </w:r>
      <w:r w:rsidR="00B15265">
        <w:rPr>
          <w:rFonts w:cs="Arial"/>
        </w:rPr>
        <w:t>ecember 2013 whichever is later</w:t>
      </w:r>
    </w:p>
    <w:p w:rsidR="00E84293" w:rsidRPr="004E3CD6" w:rsidRDefault="00E84293" w:rsidP="002B1655">
      <w:pPr>
        <w:pStyle w:val="Body"/>
        <w:rPr>
          <w:rFonts w:cs="Arial"/>
        </w:rPr>
      </w:pPr>
      <w:r w:rsidRPr="004E3CD6">
        <w:rPr>
          <w:rFonts w:cs="Arial"/>
        </w:rPr>
        <w:t>TEA will make the payment within 30 days</w:t>
      </w:r>
      <w:r w:rsidR="0014607A" w:rsidRPr="004E3CD6">
        <w:rPr>
          <w:rFonts w:cs="Arial"/>
        </w:rPr>
        <w:t xml:space="preserve"> of invoice and </w:t>
      </w:r>
      <w:r w:rsidRPr="004E3CD6">
        <w:rPr>
          <w:rFonts w:cs="Arial"/>
        </w:rPr>
        <w:t>Vendor delivery of:</w:t>
      </w:r>
    </w:p>
    <w:p w:rsidR="00E84293" w:rsidRPr="004E3CD6" w:rsidRDefault="00E84293" w:rsidP="00E84293">
      <w:pPr>
        <w:pStyle w:val="bulletedlist"/>
      </w:pPr>
      <w:r w:rsidRPr="004E3CD6">
        <w:t xml:space="preserve">Contract between the Vendor subcontractor and the data </w:t>
      </w:r>
      <w:proofErr w:type="spellStart"/>
      <w:r w:rsidRPr="004E3CD6">
        <w:t>center</w:t>
      </w:r>
      <w:proofErr w:type="spellEnd"/>
      <w:r w:rsidRPr="004E3CD6">
        <w:t xml:space="preserve"> hosting facility</w:t>
      </w:r>
    </w:p>
    <w:p w:rsidR="008A5DD3" w:rsidRPr="004E3CD6" w:rsidRDefault="008A5DD3" w:rsidP="00E84293">
      <w:pPr>
        <w:pStyle w:val="bulletedlist"/>
      </w:pPr>
      <w:r w:rsidRPr="004E3CD6">
        <w:t xml:space="preserve">Confirmation from the data </w:t>
      </w:r>
      <w:proofErr w:type="spellStart"/>
      <w:r w:rsidRPr="004E3CD6">
        <w:t>center</w:t>
      </w:r>
      <w:proofErr w:type="spellEnd"/>
      <w:r w:rsidRPr="004E3CD6">
        <w:t xml:space="preserve"> that </w:t>
      </w:r>
      <w:r w:rsidR="00EF0DD9" w:rsidRPr="004E3CD6">
        <w:t xml:space="preserve">hardware and network infrastructure and </w:t>
      </w:r>
      <w:r w:rsidR="00CA37B0" w:rsidRPr="004E3CD6">
        <w:t>all software comprising the</w:t>
      </w:r>
      <w:r w:rsidRPr="004E3CD6">
        <w:t xml:space="preserve"> SSIS </w:t>
      </w:r>
      <w:r w:rsidR="00EF0DD9" w:rsidRPr="004E3CD6">
        <w:t>have</w:t>
      </w:r>
      <w:r w:rsidRPr="004E3CD6">
        <w:t xml:space="preserve"> been deployed</w:t>
      </w:r>
    </w:p>
    <w:p w:rsidR="002B1655" w:rsidRDefault="002B1655" w:rsidP="00E84293">
      <w:pPr>
        <w:pStyle w:val="bulletedlist"/>
      </w:pPr>
      <w:r w:rsidRPr="004E3CD6">
        <w:t xml:space="preserve">Acceptance by TEA after data </w:t>
      </w:r>
      <w:proofErr w:type="spellStart"/>
      <w:r w:rsidRPr="004E3CD6">
        <w:t>center</w:t>
      </w:r>
      <w:proofErr w:type="spellEnd"/>
      <w:r w:rsidRPr="004E3CD6">
        <w:t xml:space="preserve"> site visit and inspection </w:t>
      </w:r>
    </w:p>
    <w:p w:rsidR="006D488A" w:rsidRPr="004E3CD6" w:rsidRDefault="006D488A" w:rsidP="006D488A">
      <w:pPr>
        <w:pStyle w:val="Body"/>
      </w:pPr>
      <w:r w:rsidRPr="004E3CD6">
        <w:rPr>
          <w:rFonts w:cs="Arial"/>
        </w:rPr>
        <w:t>TEA will pay the Vendor a payment of $</w:t>
      </w:r>
      <w:r>
        <w:rPr>
          <w:rFonts w:cs="Arial"/>
        </w:rPr>
        <w:t>85,000 in FY 2013</w:t>
      </w:r>
      <w:r w:rsidRPr="004E3CD6">
        <w:rPr>
          <w:rFonts w:cs="Arial"/>
        </w:rPr>
        <w:t xml:space="preserve"> for</w:t>
      </w:r>
      <w:r>
        <w:rPr>
          <w:rFonts w:cs="Arial"/>
        </w:rPr>
        <w:t xml:space="preserve"> data </w:t>
      </w:r>
      <w:proofErr w:type="spellStart"/>
      <w:r>
        <w:rPr>
          <w:rFonts w:cs="Arial"/>
        </w:rPr>
        <w:t>center</w:t>
      </w:r>
      <w:proofErr w:type="spellEnd"/>
      <w:r>
        <w:rPr>
          <w:rFonts w:cs="Arial"/>
        </w:rPr>
        <w:t xml:space="preserve"> annual fee.</w:t>
      </w:r>
    </w:p>
    <w:p w:rsidR="00A10A79" w:rsidRPr="004E3CD6" w:rsidRDefault="00842D3A" w:rsidP="00A10A79">
      <w:pPr>
        <w:pStyle w:val="H2"/>
      </w:pPr>
      <w:r w:rsidRPr="004E3CD6">
        <w:t>Project Management</w:t>
      </w:r>
      <w:r w:rsidR="00B765E5" w:rsidRPr="004E3CD6">
        <w:t xml:space="preserve"> Services</w:t>
      </w:r>
    </w:p>
    <w:p w:rsidR="008A5DD3" w:rsidRPr="004E3CD6" w:rsidRDefault="00E84293" w:rsidP="00E84293">
      <w:pPr>
        <w:pStyle w:val="Body"/>
      </w:pPr>
      <w:r w:rsidRPr="004E3CD6">
        <w:t xml:space="preserve">The Vendor Project Manager </w:t>
      </w:r>
      <w:r w:rsidR="00B765E5" w:rsidRPr="004E3CD6">
        <w:t xml:space="preserve">Services </w:t>
      </w:r>
      <w:r w:rsidRPr="004E3CD6">
        <w:t>w</w:t>
      </w:r>
      <w:r w:rsidR="008A5DD3" w:rsidRPr="004E3CD6">
        <w:t xml:space="preserve">ill be the primary liaison between the Vendor and </w:t>
      </w:r>
      <w:r w:rsidRPr="004E3CD6">
        <w:t xml:space="preserve">TEA.  </w:t>
      </w:r>
      <w:r w:rsidR="00B765E5" w:rsidRPr="004E3CD6">
        <w:t xml:space="preserve">Project Manager Services will </w:t>
      </w:r>
      <w:r w:rsidR="008A5DD3" w:rsidRPr="004E3CD6">
        <w:t>lead the Vendor resources for:</w:t>
      </w:r>
    </w:p>
    <w:p w:rsidR="008A5DD3" w:rsidRPr="004E3CD6" w:rsidRDefault="008A5DD3" w:rsidP="008A5DD3">
      <w:pPr>
        <w:pStyle w:val="bulletedlist"/>
      </w:pPr>
      <w:r w:rsidRPr="004E3CD6">
        <w:t>Conducting Meetings</w:t>
      </w:r>
    </w:p>
    <w:p w:rsidR="008A5DD3" w:rsidRPr="004E3CD6" w:rsidRDefault="008A5DD3" w:rsidP="008A5DD3">
      <w:pPr>
        <w:pStyle w:val="bulletedlist"/>
      </w:pPr>
      <w:r w:rsidRPr="004E3CD6">
        <w:t>Delivery of Reports</w:t>
      </w:r>
    </w:p>
    <w:p w:rsidR="008A5DD3" w:rsidRPr="004E3CD6" w:rsidRDefault="008A5DD3" w:rsidP="008A5DD3">
      <w:pPr>
        <w:pStyle w:val="bulletedlist"/>
      </w:pPr>
      <w:r w:rsidRPr="004E3CD6">
        <w:t>Management of Project Plans</w:t>
      </w:r>
    </w:p>
    <w:p w:rsidR="00E84293" w:rsidRPr="004E3CD6" w:rsidRDefault="008A5DD3" w:rsidP="008A5DD3">
      <w:pPr>
        <w:pStyle w:val="bulletedlist"/>
      </w:pPr>
      <w:r w:rsidRPr="004E3CD6">
        <w:t>Development of the Governance Manual with TEA</w:t>
      </w:r>
    </w:p>
    <w:p w:rsidR="0010095D" w:rsidRDefault="0010095D" w:rsidP="008A5DD3">
      <w:pPr>
        <w:pStyle w:val="Body"/>
      </w:pPr>
      <w:r>
        <w:t>In</w:t>
      </w:r>
      <w:r w:rsidR="00E14289" w:rsidRPr="004E3CD6">
        <w:t xml:space="preserve"> FY 2011 </w:t>
      </w:r>
      <w:r w:rsidR="008A5DD3" w:rsidRPr="004E3CD6">
        <w:t xml:space="preserve">TEA </w:t>
      </w:r>
      <w:r>
        <w:t xml:space="preserve">paid the Vendor payments </w:t>
      </w:r>
      <w:r w:rsidR="008A5DD3" w:rsidRPr="004E3CD6">
        <w:t>of $</w:t>
      </w:r>
      <w:r w:rsidR="00B765E5" w:rsidRPr="004E3CD6">
        <w:t>33,333</w:t>
      </w:r>
      <w:r w:rsidR="008A5DD3" w:rsidRPr="004E3CD6">
        <w:t xml:space="preserve">, </w:t>
      </w:r>
      <w:r>
        <w:t xml:space="preserve">for </w:t>
      </w:r>
      <w:r w:rsidR="008A5DD3" w:rsidRPr="004E3CD6">
        <w:t>June 201</w:t>
      </w:r>
      <w:r w:rsidR="00B765E5" w:rsidRPr="004E3CD6">
        <w:t>1</w:t>
      </w:r>
      <w:r>
        <w:t xml:space="preserve"> and July 2011</w:t>
      </w:r>
      <w:r w:rsidR="008A5DD3" w:rsidRPr="004E3CD6">
        <w:t>, within 30 days of monthly invoicing</w:t>
      </w:r>
      <w:r w:rsidR="00FD155C" w:rsidRPr="004E3CD6">
        <w:t>,</w:t>
      </w:r>
      <w:r w:rsidR="008A5DD3" w:rsidRPr="004E3CD6">
        <w:t xml:space="preserve"> for services rendered.</w:t>
      </w:r>
      <w:r w:rsidR="00E14289" w:rsidRPr="004E3CD6">
        <w:t xml:space="preserve"> </w:t>
      </w:r>
      <w:r>
        <w:t xml:space="preserve"> TEA paid the Vendor a payment of $33,334 for August 2011</w:t>
      </w:r>
      <w:r w:rsidR="0007556B">
        <w:t xml:space="preserve"> for a total of $100,000 in FY 2011.</w:t>
      </w:r>
    </w:p>
    <w:p w:rsidR="0010095D" w:rsidRPr="0084174F" w:rsidRDefault="00093C3E" w:rsidP="008A5DD3">
      <w:pPr>
        <w:pStyle w:val="Body"/>
      </w:pPr>
      <w:r>
        <w:t>In FY 2012 TEA paid the V</w:t>
      </w:r>
      <w:r w:rsidR="0010095D">
        <w:t>endor</w:t>
      </w:r>
      <w:r w:rsidR="0007556B">
        <w:t xml:space="preserve"> two</w:t>
      </w:r>
      <w:r w:rsidR="0010095D">
        <w:t xml:space="preserve"> </w:t>
      </w:r>
      <w:r w:rsidR="006C3BDA">
        <w:t>payments</w:t>
      </w:r>
      <w:r w:rsidR="0010095D">
        <w:t xml:space="preserve"> of $33,333, for September 2011 and October 2011, within 30 days of monthly invoicing for services rendered</w:t>
      </w:r>
      <w:r w:rsidR="0010095D" w:rsidRPr="0084174F">
        <w:t xml:space="preserve">. </w:t>
      </w:r>
      <w:proofErr w:type="gramStart"/>
      <w:r w:rsidR="0010095D" w:rsidRPr="0084174F">
        <w:t xml:space="preserve">Effective </w:t>
      </w:r>
      <w:r w:rsidR="006C3BDA" w:rsidRPr="0084174F">
        <w:t>with this amendment</w:t>
      </w:r>
      <w:r w:rsidR="0010095D" w:rsidRPr="0084174F">
        <w:t xml:space="preserve">, </w:t>
      </w:r>
      <w:r w:rsidR="006C3BDA" w:rsidRPr="0084174F">
        <w:t xml:space="preserve">this contract </w:t>
      </w:r>
      <w:r w:rsidR="008B5250" w:rsidRPr="0084174F">
        <w:t>changes</w:t>
      </w:r>
      <w:r w:rsidR="006C3BDA" w:rsidRPr="0084174F">
        <w:t xml:space="preserve"> to a deliverables-based project management payment plan effective through the end of the June 2013.</w:t>
      </w:r>
      <w:proofErr w:type="gramEnd"/>
      <w:r w:rsidR="006C3BDA" w:rsidRPr="0084174F">
        <w:t xml:space="preserve"> For </w:t>
      </w:r>
      <w:r w:rsidRPr="0084174F">
        <w:t xml:space="preserve">the remainder of </w:t>
      </w:r>
      <w:r w:rsidR="006C3BDA" w:rsidRPr="0084174F">
        <w:t xml:space="preserve">FY 2012 TEA will </w:t>
      </w:r>
      <w:r w:rsidR="006C3BDA" w:rsidRPr="0084174F">
        <w:lastRenderedPageBreak/>
        <w:t>pay the vendor pay</w:t>
      </w:r>
      <w:r w:rsidR="0007556B">
        <w:t>ments of $447,200</w:t>
      </w:r>
      <w:r w:rsidR="006C3BDA" w:rsidRPr="0084174F">
        <w:t>, within 30 days of monthly invoicing, for approved deliverables</w:t>
      </w:r>
      <w:r w:rsidRPr="0084174F">
        <w:t xml:space="preserve"> as outlined in the Statement of Work (SOW)</w:t>
      </w:r>
      <w:r w:rsidR="006C3BDA" w:rsidRPr="0084174F">
        <w:t>.</w:t>
      </w:r>
    </w:p>
    <w:p w:rsidR="00A10A79" w:rsidRDefault="00E14289" w:rsidP="008A5DD3">
      <w:pPr>
        <w:pStyle w:val="Body"/>
      </w:pPr>
      <w:r w:rsidRPr="0084174F">
        <w:t>For FY</w:t>
      </w:r>
      <w:r w:rsidR="00093C3E" w:rsidRPr="0084174F">
        <w:t xml:space="preserve"> 2013, TEA will pay the Vendor</w:t>
      </w:r>
      <w:r w:rsidRPr="0084174F">
        <w:t xml:space="preserve"> payment</w:t>
      </w:r>
      <w:r w:rsidR="006C3BDA" w:rsidRPr="0084174F">
        <w:t>s</w:t>
      </w:r>
      <w:r w:rsidRPr="0084174F">
        <w:t xml:space="preserve"> of </w:t>
      </w:r>
      <w:r w:rsidR="009F6A5C" w:rsidRPr="0084174F">
        <w:t>$</w:t>
      </w:r>
      <w:r w:rsidR="0007556B">
        <w:t>182,134</w:t>
      </w:r>
      <w:r w:rsidRPr="0084174F">
        <w:t>, within 30 days of monthly invoicing</w:t>
      </w:r>
      <w:r w:rsidR="00093C3E" w:rsidRPr="0084174F">
        <w:t>,</w:t>
      </w:r>
      <w:r w:rsidRPr="0084174F">
        <w:t xml:space="preserve"> for </w:t>
      </w:r>
      <w:r w:rsidR="00093C3E" w:rsidRPr="0084174F">
        <w:t>approved deliverables as outline in the SOW</w:t>
      </w:r>
      <w:r w:rsidRPr="0084174F">
        <w:t>.</w:t>
      </w:r>
    </w:p>
    <w:p w:rsidR="00345626" w:rsidRPr="004E3CD6" w:rsidRDefault="00345626" w:rsidP="00345626">
      <w:pPr>
        <w:pStyle w:val="H2"/>
      </w:pPr>
      <w:r>
        <w:t>LEA Support</w:t>
      </w:r>
    </w:p>
    <w:p w:rsidR="00345626" w:rsidRPr="004E3CD6" w:rsidRDefault="00345626" w:rsidP="00345626">
      <w:pPr>
        <w:pStyle w:val="Body"/>
      </w:pPr>
      <w:r w:rsidRPr="004E3CD6">
        <w:t xml:space="preserve">The Vendor will create a solution support program that utilizes existing Texas regional Education Service </w:t>
      </w:r>
      <w:proofErr w:type="spellStart"/>
      <w:r w:rsidRPr="004E3CD6">
        <w:t>Centers</w:t>
      </w:r>
      <w:proofErr w:type="spellEnd"/>
      <w:r w:rsidRPr="004E3CD6">
        <w:t xml:space="preserve"> (ESCs) to provide support to LEAs using the SSIS.</w:t>
      </w:r>
    </w:p>
    <w:p w:rsidR="00986223" w:rsidRDefault="00345626">
      <w:pPr>
        <w:pStyle w:val="H3"/>
        <w:ind w:left="0" w:hanging="18"/>
      </w:pPr>
      <w:r>
        <w:t>ESC Staff Support Training and Certification</w:t>
      </w:r>
    </w:p>
    <w:p w:rsidR="00345626" w:rsidRPr="004E3CD6" w:rsidRDefault="00345626" w:rsidP="00345626">
      <w:pPr>
        <w:pStyle w:val="Body"/>
      </w:pPr>
      <w:r w:rsidRPr="004E3CD6">
        <w:t>TEA will pay the Vendor to design the program, train staff, evaluate and certify staff, and provide assistance during implementation for SSIS field support as part of that program.</w:t>
      </w:r>
    </w:p>
    <w:p w:rsidR="00345626" w:rsidRDefault="00345626" w:rsidP="00345626">
      <w:pPr>
        <w:pStyle w:val="Body"/>
      </w:pPr>
      <w:r>
        <w:t>For FY 2011 and 2012</w:t>
      </w:r>
      <w:r w:rsidRPr="004E3CD6">
        <w:t>, TEA will pay the Vendor a payment of $</w:t>
      </w:r>
      <w:r>
        <w:t>40,000 per month</w:t>
      </w:r>
      <w:r w:rsidRPr="004E3CD6">
        <w:t xml:space="preserve">, starting in </w:t>
      </w:r>
      <w:r w:rsidRPr="006C3BDA">
        <w:t>October 2011,</w:t>
      </w:r>
      <w:r w:rsidRPr="004E3CD6">
        <w:t xml:space="preserve"> within 30 days of monthly invoicing,</w:t>
      </w:r>
      <w:r>
        <w:t xml:space="preserve"> f</w:t>
      </w:r>
      <w:r w:rsidR="001B7B2F">
        <w:t>or LEA support program services including ESC support staff funding pass</w:t>
      </w:r>
      <w:r w:rsidR="002247AC">
        <w:t xml:space="preserve"> through</w:t>
      </w:r>
      <w:r w:rsidR="001B7B2F">
        <w:t xml:space="preserve"> as well as the </w:t>
      </w:r>
      <w:r>
        <w:t xml:space="preserve">delivery of: </w:t>
      </w:r>
    </w:p>
    <w:p w:rsidR="00345626" w:rsidRPr="004E3CD6" w:rsidRDefault="00345626" w:rsidP="00345626">
      <w:pPr>
        <w:pStyle w:val="bulletedlist"/>
      </w:pPr>
      <w:r w:rsidRPr="004E3CD6">
        <w:t>The signed LEA Support Agreement between the Vendor and the ESCs</w:t>
      </w:r>
    </w:p>
    <w:p w:rsidR="00345626" w:rsidRPr="004E3CD6" w:rsidRDefault="00345626" w:rsidP="00345626">
      <w:pPr>
        <w:pStyle w:val="bulletedlist"/>
      </w:pPr>
      <w:r w:rsidRPr="004E3CD6">
        <w:t xml:space="preserve">Agreed-upon staffing plan for each ESC </w:t>
      </w:r>
    </w:p>
    <w:p w:rsidR="00986223" w:rsidRDefault="00345626">
      <w:pPr>
        <w:pStyle w:val="bulletedlist"/>
      </w:pPr>
      <w:r w:rsidRPr="004E3CD6">
        <w:t>Delivery of a project plan outlining the training and certification milestones</w:t>
      </w:r>
    </w:p>
    <w:p w:rsidR="00FE1273" w:rsidRDefault="00FE1273" w:rsidP="00FE1273">
      <w:pPr>
        <w:pStyle w:val="bulletedlist"/>
        <w:numPr>
          <w:ilvl w:val="0"/>
          <w:numId w:val="23"/>
        </w:numPr>
      </w:pPr>
      <w:r>
        <w:t>Delivery of a project plan outlining the training and certification milestones</w:t>
      </w:r>
    </w:p>
    <w:p w:rsidR="00FE1273" w:rsidRPr="007659FE" w:rsidRDefault="00FE1273" w:rsidP="00FE1273">
      <w:pPr>
        <w:pStyle w:val="H3"/>
        <w:numPr>
          <w:ilvl w:val="2"/>
          <w:numId w:val="24"/>
        </w:numPr>
        <w:ind w:left="0" w:hanging="18"/>
        <w:rPr>
          <w:strike/>
          <w:highlight w:val="yellow"/>
        </w:rPr>
      </w:pPr>
      <w:proofErr w:type="spellStart"/>
      <w:r w:rsidRPr="007659FE">
        <w:rPr>
          <w:strike/>
          <w:highlight w:val="yellow"/>
        </w:rPr>
        <w:t>LiveChat</w:t>
      </w:r>
      <w:proofErr w:type="spellEnd"/>
      <w:r w:rsidRPr="007659FE">
        <w:rPr>
          <w:strike/>
          <w:highlight w:val="yellow"/>
        </w:rPr>
        <w:t xml:space="preserve"> Licenses for ESC Staff</w:t>
      </w:r>
    </w:p>
    <w:p w:rsidR="00FE1273" w:rsidRPr="00FE1273" w:rsidRDefault="00FE1273" w:rsidP="00FE1273">
      <w:pPr>
        <w:pStyle w:val="Body"/>
        <w:rPr>
          <w:strike/>
        </w:rPr>
      </w:pPr>
      <w:r w:rsidRPr="007659FE">
        <w:rPr>
          <w:strike/>
          <w:highlight w:val="yellow"/>
        </w:rPr>
        <w:t xml:space="preserve">The Vendor will incorporate </w:t>
      </w:r>
      <w:proofErr w:type="spellStart"/>
      <w:r w:rsidRPr="007659FE">
        <w:rPr>
          <w:strike/>
          <w:highlight w:val="yellow"/>
        </w:rPr>
        <w:t>LiveChat</w:t>
      </w:r>
      <w:proofErr w:type="spellEnd"/>
      <w:r w:rsidRPr="007659FE">
        <w:rPr>
          <w:strike/>
          <w:highlight w:val="yellow"/>
        </w:rPr>
        <w:t xml:space="preserve"> into Skyward’s support systems as an additional method of LEA’s access to certified ESC primary </w:t>
      </w:r>
      <w:bookmarkStart w:id="2" w:name="_GoBack"/>
      <w:bookmarkEnd w:id="2"/>
      <w:r w:rsidRPr="007659FE">
        <w:rPr>
          <w:strike/>
          <w:highlight w:val="yellow"/>
        </w:rPr>
        <w:t xml:space="preserve">support staff.  In FY2013, TEA will pay the Vendor a single payment of $4500 to cover the cost of up to twelve (12) </w:t>
      </w:r>
      <w:proofErr w:type="spellStart"/>
      <w:r w:rsidRPr="007659FE">
        <w:rPr>
          <w:strike/>
          <w:highlight w:val="yellow"/>
        </w:rPr>
        <w:t>LiveChat</w:t>
      </w:r>
      <w:proofErr w:type="spellEnd"/>
      <w:r w:rsidRPr="007659FE">
        <w:rPr>
          <w:strike/>
          <w:highlight w:val="yellow"/>
        </w:rPr>
        <w:t xml:space="preserve"> licenses over a five (5) year period for all certified ESC SSIS primary support staff.</w:t>
      </w:r>
    </w:p>
    <w:p w:rsidR="0038255E" w:rsidRDefault="0038255E">
      <w:pPr>
        <w:pStyle w:val="Body"/>
      </w:pPr>
    </w:p>
    <w:sectPr w:rsidR="0038255E" w:rsidSect="0017087E">
      <w:headerReference w:type="even" r:id="rId14"/>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5276" w:rsidRDefault="00D65276">
      <w:r>
        <w:separator/>
      </w:r>
    </w:p>
  </w:endnote>
  <w:endnote w:type="continuationSeparator" w:id="0">
    <w:p w:rsidR="00D65276" w:rsidRDefault="00D65276">
      <w:r>
        <w:continuationSeparator/>
      </w:r>
    </w:p>
  </w:endnote>
</w:endnotes>
</file>

<file path=word/fontTable.xml><?xml version="1.0" encoding="utf-8"?>
<w:fonts xmlns:r="http://schemas.openxmlformats.org/officeDocument/2006/relationships" xmlns:w="http://schemas.openxmlformats.org/wordprocessingml/2006/main">
  <w:font w:name="Arial Bold">
    <w:panose1 w:val="020B0704020202020204"/>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76" w:rsidRDefault="00FE492E" w:rsidP="00FB0D9D">
    <w:pPr>
      <w:pStyle w:val="Footer"/>
      <w:tabs>
        <w:tab w:val="right" w:pos="9048"/>
      </w:tabs>
    </w:pPr>
    <w:fldSimple w:instr=" FILENAME  \* FirstCap  \* MERGEFORMAT ">
      <w:r w:rsidR="00D65276" w:rsidRPr="004A3A22">
        <w:rPr>
          <w:rStyle w:val="PageNumber"/>
          <w:noProof/>
        </w:rPr>
        <w:t>Exhibit C-1_State Adaptation Costs -</w:t>
      </w:r>
      <w:r w:rsidR="00D65276">
        <w:rPr>
          <w:noProof/>
        </w:rPr>
        <w:t xml:space="preserve"> Redline Comparison_skywardrevisions_11.27.12</w:t>
      </w:r>
    </w:fldSimple>
    <w:r w:rsidR="00D65276">
      <w:rPr>
        <w:rStyle w:val="PageNumber"/>
      </w:rPr>
      <w:tab/>
      <w:t xml:space="preserve">Page </w:t>
    </w:r>
    <w:r>
      <w:rPr>
        <w:rStyle w:val="PageNumber"/>
      </w:rPr>
      <w:fldChar w:fldCharType="begin"/>
    </w:r>
    <w:r w:rsidR="00D65276">
      <w:rPr>
        <w:rStyle w:val="PageNumber"/>
      </w:rPr>
      <w:instrText xml:space="preserve"> PAGE </w:instrText>
    </w:r>
    <w:r>
      <w:rPr>
        <w:rStyle w:val="PageNumber"/>
      </w:rPr>
      <w:fldChar w:fldCharType="separate"/>
    </w:r>
    <w:r w:rsidR="00D65276">
      <w:rPr>
        <w:rStyle w:val="PageNumber"/>
        <w:noProof/>
      </w:rPr>
      <w:t>25</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76" w:rsidRPr="00324476" w:rsidRDefault="00FE492E" w:rsidP="002243DE">
    <w:pPr>
      <w:pStyle w:val="Footer"/>
      <w:tabs>
        <w:tab w:val="left" w:pos="372"/>
      </w:tabs>
      <w:rPr>
        <w:rFonts w:cs="Arial"/>
        <w:sz w:val="18"/>
        <w:szCs w:val="18"/>
      </w:rPr>
    </w:pPr>
    <w:fldSimple w:instr=" FILENAME   \* MERGEFORMAT ">
      <w:r w:rsidR="00D65276" w:rsidRPr="004A3A22">
        <w:rPr>
          <w:rFonts w:cs="Arial"/>
          <w:noProof/>
          <w:sz w:val="18"/>
          <w:szCs w:val="18"/>
        </w:rPr>
        <w:t>Exhibit C-1_State Adaptation Costs</w:t>
      </w:r>
      <w:r w:rsidR="00D65276">
        <w:rPr>
          <w:noProof/>
        </w:rPr>
        <w:t>2</w:t>
      </w:r>
    </w:fldSimple>
    <w:r w:rsidR="00D65276" w:rsidRPr="00324476">
      <w:rPr>
        <w:rFonts w:cs="Arial"/>
        <w:sz w:val="18"/>
        <w:szCs w:val="18"/>
      </w:rPr>
      <w:tab/>
    </w:r>
    <w:r w:rsidR="00751561">
      <w:rPr>
        <w:rFonts w:cs="Arial"/>
        <w:sz w:val="18"/>
        <w:szCs w:val="18"/>
      </w:rPr>
      <w:t>Addendum 7: February 14, 2013</w:t>
    </w:r>
    <w:r w:rsidR="00D65276" w:rsidRPr="00324476">
      <w:rPr>
        <w:rFonts w:cs="Arial"/>
        <w:sz w:val="18"/>
        <w:szCs w:val="18"/>
      </w:rPr>
      <w:tab/>
    </w:r>
    <w:r w:rsidR="00D65276" w:rsidRPr="00324476">
      <w:rPr>
        <w:rFonts w:cs="Arial"/>
        <w:iCs/>
        <w:sz w:val="18"/>
        <w:szCs w:val="18"/>
      </w:rPr>
      <w:t xml:space="preserve"> </w:t>
    </w:r>
    <w:r w:rsidR="00D65276">
      <w:rPr>
        <w:rFonts w:cs="Arial"/>
        <w:iCs/>
        <w:sz w:val="18"/>
        <w:szCs w:val="18"/>
      </w:rPr>
      <w:t>p</w:t>
    </w:r>
    <w:r w:rsidR="00D65276" w:rsidRPr="00324476">
      <w:rPr>
        <w:rFonts w:cs="Arial"/>
        <w:iCs/>
        <w:sz w:val="18"/>
        <w:szCs w:val="18"/>
      </w:rPr>
      <w:t>age</w:t>
    </w:r>
    <w:r w:rsidR="00D65276" w:rsidRPr="00324476">
      <w:rPr>
        <w:rFonts w:cs="Arial"/>
        <w:sz w:val="18"/>
        <w:szCs w:val="18"/>
      </w:rPr>
      <w:t xml:space="preserve"> </w:t>
    </w:r>
    <w:r w:rsidRPr="00324476">
      <w:rPr>
        <w:rStyle w:val="PageNumber"/>
        <w:rFonts w:cs="Arial"/>
        <w:sz w:val="18"/>
        <w:szCs w:val="18"/>
      </w:rPr>
      <w:fldChar w:fldCharType="begin"/>
    </w:r>
    <w:r w:rsidR="00D65276" w:rsidRPr="00324476">
      <w:rPr>
        <w:rStyle w:val="PageNumber"/>
        <w:rFonts w:cs="Arial"/>
        <w:sz w:val="18"/>
        <w:szCs w:val="18"/>
      </w:rPr>
      <w:instrText xml:space="preserve"> PAGE  \* Arabic  \* MERGEFORMAT </w:instrText>
    </w:r>
    <w:r w:rsidRPr="00324476">
      <w:rPr>
        <w:rStyle w:val="PageNumber"/>
        <w:rFonts w:cs="Arial"/>
        <w:sz w:val="18"/>
        <w:szCs w:val="18"/>
      </w:rPr>
      <w:fldChar w:fldCharType="separate"/>
    </w:r>
    <w:r w:rsidR="0015395C">
      <w:rPr>
        <w:rStyle w:val="PageNumber"/>
        <w:rFonts w:cs="Arial"/>
        <w:noProof/>
        <w:sz w:val="18"/>
        <w:szCs w:val="18"/>
      </w:rPr>
      <w:t>5</w:t>
    </w:r>
    <w:r w:rsidRPr="00324476">
      <w:rPr>
        <w:rStyle w:val="PageNumber"/>
        <w:rFonts w:cs="Arial"/>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5276" w:rsidRDefault="00D65276">
      <w:r>
        <w:separator/>
      </w:r>
    </w:p>
  </w:footnote>
  <w:footnote w:type="continuationSeparator" w:id="0">
    <w:p w:rsidR="00D65276" w:rsidRDefault="00D65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76" w:rsidRDefault="00D65276" w:rsidP="00FB0D9D">
    <w:pPr>
      <w:pStyle w:val="Header"/>
    </w:pPr>
    <w:r>
      <w:t>Skyward, Inc</w:t>
    </w:r>
    <w:proofErr w:type="gramStart"/>
    <w:r>
      <w:t>./</w:t>
    </w:r>
    <w:proofErr w:type="gramEnd"/>
    <w:r>
      <w:t>TEA  Proprietary Information</w:t>
    </w:r>
    <w:r>
      <w:tab/>
    </w:r>
    <w:r>
      <w:tab/>
      <w:t>TSDS SSIS Project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276" w:rsidRDefault="00D6527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6F48"/>
    <w:multiLevelType w:val="hybridMultilevel"/>
    <w:tmpl w:val="7102C4C6"/>
    <w:lvl w:ilvl="0" w:tplc="486CB942">
      <w:start w:val="1"/>
      <w:numFmt w:val="lowerRoman"/>
      <w:pStyle w:val="Listcontractitems4"/>
      <w:lvlText w:val="(%1)"/>
      <w:lvlJc w:val="left"/>
      <w:pPr>
        <w:ind w:left="1800" w:hanging="360"/>
      </w:pPr>
      <w:rPr>
        <w:rFonts w:ascii="Arial Bold" w:hAnsi="Arial Bold" w:cs="Times New Roman" w:hint="default"/>
        <w:b/>
        <w:bCs w:val="0"/>
        <w:i/>
        <w:iCs w:val="0"/>
        <w:caps w:val="0"/>
        <w:smallCaps w:val="0"/>
        <w:strike w:val="0"/>
        <w:dstrike w:val="0"/>
        <w:outline w:val="0"/>
        <w:shadow w:val="0"/>
        <w:emboss w:val="0"/>
        <w:imprint w:val="0"/>
        <w:vanish w:val="0"/>
        <w:color w:val="auto"/>
        <w:spacing w:val="0"/>
        <w:w w:val="100"/>
        <w:kern w:val="0"/>
        <w:position w:val="0"/>
        <w:sz w:val="18"/>
        <w:szCs w:val="20"/>
        <w:u w:val="none" w:color="000000"/>
        <w:vertAlign w:val="baseline"/>
      </w:rPr>
    </w:lvl>
    <w:lvl w:ilvl="1" w:tplc="C1FEC1E4">
      <w:start w:val="1"/>
      <w:numFmt w:val="lowerLetter"/>
      <w:lvlText w:val="%2."/>
      <w:lvlJc w:val="left"/>
      <w:pPr>
        <w:ind w:left="1800" w:hanging="360"/>
      </w:pPr>
      <w:rPr>
        <w:rFonts w:cs="Times New Roman"/>
      </w:rPr>
    </w:lvl>
    <w:lvl w:ilvl="2" w:tplc="D9B8E754" w:tentative="1">
      <w:start w:val="1"/>
      <w:numFmt w:val="lowerRoman"/>
      <w:lvlText w:val="%3."/>
      <w:lvlJc w:val="right"/>
      <w:pPr>
        <w:ind w:left="2520" w:hanging="180"/>
      </w:pPr>
      <w:rPr>
        <w:rFonts w:cs="Times New Roman"/>
      </w:rPr>
    </w:lvl>
    <w:lvl w:ilvl="3" w:tplc="2092C8A4" w:tentative="1">
      <w:start w:val="1"/>
      <w:numFmt w:val="decimal"/>
      <w:lvlText w:val="%4."/>
      <w:lvlJc w:val="left"/>
      <w:pPr>
        <w:ind w:left="3240" w:hanging="360"/>
      </w:pPr>
      <w:rPr>
        <w:rFonts w:cs="Times New Roman"/>
      </w:rPr>
    </w:lvl>
    <w:lvl w:ilvl="4" w:tplc="BA6E9086" w:tentative="1">
      <w:start w:val="1"/>
      <w:numFmt w:val="lowerLetter"/>
      <w:lvlText w:val="%5."/>
      <w:lvlJc w:val="left"/>
      <w:pPr>
        <w:ind w:left="3960" w:hanging="360"/>
      </w:pPr>
      <w:rPr>
        <w:rFonts w:cs="Times New Roman"/>
      </w:rPr>
    </w:lvl>
    <w:lvl w:ilvl="5" w:tplc="FE767BD8" w:tentative="1">
      <w:start w:val="1"/>
      <w:numFmt w:val="lowerRoman"/>
      <w:lvlText w:val="%6."/>
      <w:lvlJc w:val="right"/>
      <w:pPr>
        <w:ind w:left="4680" w:hanging="180"/>
      </w:pPr>
      <w:rPr>
        <w:rFonts w:cs="Times New Roman"/>
      </w:rPr>
    </w:lvl>
    <w:lvl w:ilvl="6" w:tplc="B25C126C" w:tentative="1">
      <w:start w:val="1"/>
      <w:numFmt w:val="decimal"/>
      <w:lvlText w:val="%7."/>
      <w:lvlJc w:val="left"/>
      <w:pPr>
        <w:ind w:left="5400" w:hanging="360"/>
      </w:pPr>
      <w:rPr>
        <w:rFonts w:cs="Times New Roman"/>
      </w:rPr>
    </w:lvl>
    <w:lvl w:ilvl="7" w:tplc="FBE057A4" w:tentative="1">
      <w:start w:val="1"/>
      <w:numFmt w:val="lowerLetter"/>
      <w:lvlText w:val="%8."/>
      <w:lvlJc w:val="left"/>
      <w:pPr>
        <w:ind w:left="6120" w:hanging="360"/>
      </w:pPr>
      <w:rPr>
        <w:rFonts w:cs="Times New Roman"/>
      </w:rPr>
    </w:lvl>
    <w:lvl w:ilvl="8" w:tplc="C116E86C" w:tentative="1">
      <w:start w:val="1"/>
      <w:numFmt w:val="lowerRoman"/>
      <w:lvlText w:val="%9."/>
      <w:lvlJc w:val="right"/>
      <w:pPr>
        <w:ind w:left="6840" w:hanging="180"/>
      </w:pPr>
      <w:rPr>
        <w:rFonts w:cs="Times New Roman"/>
      </w:rPr>
    </w:lvl>
  </w:abstractNum>
  <w:abstractNum w:abstractNumId="1">
    <w:nsid w:val="0D7163BE"/>
    <w:multiLevelType w:val="hybridMultilevel"/>
    <w:tmpl w:val="F3FE09BA"/>
    <w:lvl w:ilvl="0" w:tplc="6E2291C4">
      <w:start w:val="1"/>
      <w:numFmt w:val="bullet"/>
      <w:pStyle w:val="bulletedsublist"/>
      <w:lvlText w:val="–"/>
      <w:lvlJc w:val="left"/>
      <w:pPr>
        <w:ind w:left="1800" w:hanging="360"/>
      </w:pPr>
      <w:rPr>
        <w:rFonts w:ascii="Arial" w:hAnsi="Aria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D80689"/>
    <w:multiLevelType w:val="hybridMultilevel"/>
    <w:tmpl w:val="A8F66D80"/>
    <w:lvl w:ilvl="0" w:tplc="7E528B64">
      <w:start w:val="1"/>
      <w:numFmt w:val="bullet"/>
      <w:pStyle w:val="Table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42B45"/>
    <w:multiLevelType w:val="multilevel"/>
    <w:tmpl w:val="B7747E06"/>
    <w:lvl w:ilvl="0">
      <w:start w:val="1"/>
      <w:numFmt w:val="decimal"/>
      <w:pStyle w:val="Listcontractitems1decimal"/>
      <w:lvlText w:val="%1."/>
      <w:lvlJc w:val="left"/>
      <w:pPr>
        <w:ind w:left="360" w:hanging="360"/>
      </w:pPr>
      <w:rPr>
        <w:rFonts w:cs="Times New Roman"/>
      </w:rPr>
    </w:lvl>
    <w:lvl w:ilvl="1">
      <w:start w:val="1"/>
      <w:numFmt w:val="decimal"/>
      <w:pStyle w:val="Listcontractitems2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C7C7609"/>
    <w:multiLevelType w:val="multilevel"/>
    <w:tmpl w:val="A13E4D1E"/>
    <w:lvl w:ilvl="0">
      <w:start w:val="1"/>
      <w:numFmt w:val="decimal"/>
      <w:pStyle w:val="Heading1Numbered"/>
      <w:lvlText w:val="%1.0"/>
      <w:lvlJc w:val="left"/>
      <w:pPr>
        <w:tabs>
          <w:tab w:val="num" w:pos="720"/>
        </w:tabs>
        <w:ind w:left="720" w:hanging="720"/>
      </w:pPr>
      <w:rPr>
        <w:rFonts w:ascii="Times New Roman Bold" w:hAnsi="Times New Roman Bold" w:hint="default"/>
        <w:b/>
        <w:i w:val="0"/>
        <w:sz w:val="28"/>
      </w:rPr>
    </w:lvl>
    <w:lvl w:ilvl="1">
      <w:start w:val="1"/>
      <w:numFmt w:val="decimal"/>
      <w:pStyle w:val="Heading2Numbered"/>
      <w:lvlText w:val="%1.%2"/>
      <w:lvlJc w:val="left"/>
      <w:pPr>
        <w:tabs>
          <w:tab w:val="num" w:pos="720"/>
        </w:tabs>
        <w:ind w:left="720" w:hanging="720"/>
      </w:pPr>
      <w:rPr>
        <w:rFonts w:ascii="Times New Roman Bold" w:hAnsi="Times New Roman Bold" w:hint="default"/>
        <w:b/>
        <w:i w:val="0"/>
        <w:sz w:val="28"/>
      </w:rPr>
    </w:lvl>
    <w:lvl w:ilvl="2">
      <w:start w:val="1"/>
      <w:numFmt w:val="decimal"/>
      <w:pStyle w:val="Heading3Numbered"/>
      <w:lvlText w:val="%1.%2.%3"/>
      <w:lvlJc w:val="left"/>
      <w:pPr>
        <w:tabs>
          <w:tab w:val="num" w:pos="1080"/>
        </w:tabs>
        <w:ind w:left="1080" w:hanging="1080"/>
      </w:pPr>
      <w:rPr>
        <w:rFonts w:ascii="Times New Roman" w:hAnsi="Times New Roman" w:hint="default"/>
        <w:b/>
        <w:i w:val="0"/>
        <w:sz w:val="24"/>
      </w:rPr>
    </w:lvl>
    <w:lvl w:ilvl="3">
      <w:start w:val="1"/>
      <w:numFmt w:val="decimal"/>
      <w:pStyle w:val="Heading4Numbered"/>
      <w:lvlText w:val="%1.%2.%3.%4"/>
      <w:lvlJc w:val="left"/>
      <w:pPr>
        <w:tabs>
          <w:tab w:val="num" w:pos="1296"/>
        </w:tabs>
        <w:ind w:left="1296" w:hanging="1296"/>
      </w:pPr>
      <w:rPr>
        <w:rFonts w:ascii="Times New Roman Bold" w:hAnsi="Times New Roman Bold" w:hint="default"/>
        <w:b/>
        <w:i w:val="0"/>
        <w:sz w:val="24"/>
      </w:rPr>
    </w:lvl>
    <w:lvl w:ilvl="4">
      <w:start w:val="1"/>
      <w:numFmt w:val="decimal"/>
      <w:lvlRestart w:val="1"/>
      <w:pStyle w:val="Heading5Numbered"/>
      <w:lvlText w:val="%1.%2.%3.%4.%5"/>
      <w:lvlJc w:val="left"/>
      <w:pPr>
        <w:tabs>
          <w:tab w:val="num" w:pos="720"/>
        </w:tabs>
        <w:ind w:left="720" w:hanging="720"/>
      </w:pPr>
      <w:rPr>
        <w:rFonts w:ascii="Times New Roman Bold" w:hAnsi="Times New Roman Bold" w:hint="default"/>
        <w:b/>
        <w:i w:val="0"/>
        <w:sz w:val="22"/>
        <w:szCs w:val="22"/>
      </w:rPr>
    </w:lvl>
    <w:lvl w:ilvl="5">
      <w:start w:val="1"/>
      <w:numFmt w:val="none"/>
      <w:lvlText w:val=""/>
      <w:lvlJc w:val="left"/>
      <w:pPr>
        <w:tabs>
          <w:tab w:val="num" w:pos="720"/>
        </w:tabs>
        <w:ind w:left="720" w:hanging="720"/>
      </w:pPr>
      <w:rPr>
        <w:rFonts w:ascii="Times New Roman" w:hAnsi="Times New Roman" w:hint="default"/>
        <w:b w:val="0"/>
        <w:i w:val="0"/>
        <w:sz w:val="22"/>
      </w:rPr>
    </w:lvl>
    <w:lvl w:ilvl="6">
      <w:start w:val="1"/>
      <w:numFmt w:val="none"/>
      <w:lvlText w:val=""/>
      <w:lvlJc w:val="left"/>
      <w:pPr>
        <w:tabs>
          <w:tab w:val="num" w:pos="720"/>
        </w:tabs>
        <w:ind w:left="720" w:hanging="720"/>
      </w:pPr>
      <w:rPr>
        <w:rFonts w:ascii="Times New Roman" w:hAnsi="Times New Roman" w:hint="default"/>
        <w:b w:val="0"/>
        <w:i w:val="0"/>
        <w:sz w:val="22"/>
      </w:rPr>
    </w:lvl>
    <w:lvl w:ilvl="7">
      <w:start w:val="1"/>
      <w:numFmt w:val="none"/>
      <w:lvlText w:val=""/>
      <w:lvlJc w:val="left"/>
      <w:pPr>
        <w:tabs>
          <w:tab w:val="num" w:pos="720"/>
        </w:tabs>
        <w:ind w:left="720" w:hanging="720"/>
      </w:pPr>
      <w:rPr>
        <w:rFonts w:ascii="Times New Roman" w:hAnsi="Times New Roman" w:hint="default"/>
        <w:b w:val="0"/>
        <w:i w:val="0"/>
        <w:sz w:val="22"/>
      </w:rPr>
    </w:lvl>
    <w:lvl w:ilvl="8">
      <w:start w:val="1"/>
      <w:numFmt w:val="none"/>
      <w:lvlText w:val="%8"/>
      <w:lvlJc w:val="left"/>
      <w:pPr>
        <w:tabs>
          <w:tab w:val="num" w:pos="4320"/>
        </w:tabs>
        <w:ind w:left="4320" w:hanging="1440"/>
      </w:pPr>
      <w:rPr>
        <w:rFonts w:hint="default"/>
      </w:rPr>
    </w:lvl>
  </w:abstractNum>
  <w:abstractNum w:abstractNumId="5">
    <w:nsid w:val="202C01A7"/>
    <w:multiLevelType w:val="hybridMultilevel"/>
    <w:tmpl w:val="16344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274FED"/>
    <w:multiLevelType w:val="multilevel"/>
    <w:tmpl w:val="987089E2"/>
    <w:lvl w:ilvl="0">
      <w:start w:val="1"/>
      <w:numFmt w:val="decimal"/>
      <w:pStyle w:val="Legal2L1"/>
      <w:lvlText w:val="%1."/>
      <w:lvlJc w:val="left"/>
      <w:pPr>
        <w:tabs>
          <w:tab w:val="num" w:pos="720"/>
        </w:tabs>
        <w:ind w:left="72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Legal2L2"/>
      <w:lvlText w:val="%1.%2"/>
      <w:lvlJc w:val="left"/>
      <w:pPr>
        <w:tabs>
          <w:tab w:val="num" w:pos="1440"/>
        </w:tabs>
        <w:ind w:left="0" w:firstLine="720"/>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lowerLetter"/>
      <w:pStyle w:val="Legal2L3"/>
      <w:lvlText w:val="(%3)"/>
      <w:lvlJc w:val="left"/>
      <w:pPr>
        <w:tabs>
          <w:tab w:val="num" w:pos="2160"/>
        </w:tabs>
        <w:ind w:left="0" w:firstLine="144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3">
      <w:start w:val="1"/>
      <w:numFmt w:val="lowerRoman"/>
      <w:pStyle w:val="Legal2L4"/>
      <w:lvlText w:val="(%4)"/>
      <w:lvlJc w:val="left"/>
      <w:pPr>
        <w:tabs>
          <w:tab w:val="num" w:pos="2880"/>
        </w:tabs>
        <w:ind w:left="0" w:firstLine="2160"/>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4">
      <w:start w:val="1"/>
      <w:numFmt w:val="decimal"/>
      <w:pStyle w:val="Legal2L6"/>
      <w:lvlText w:val="(%5)"/>
      <w:lvlJc w:val="left"/>
      <w:pPr>
        <w:tabs>
          <w:tab w:val="num" w:pos="3600"/>
        </w:tabs>
        <w:ind w:left="0" w:firstLine="288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lvl w:ilvl="5">
      <w:start w:val="1"/>
      <w:numFmt w:val="lowerLetter"/>
      <w:pStyle w:val="Legal2L7"/>
      <w:lvlText w:val="%6."/>
      <w:lvlJc w:val="left"/>
      <w:pPr>
        <w:tabs>
          <w:tab w:val="num" w:pos="4320"/>
        </w:tabs>
        <w:ind w:left="0" w:firstLine="360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lvl w:ilvl="6">
      <w:start w:val="1"/>
      <w:numFmt w:val="lowerRoman"/>
      <w:pStyle w:val="Legal2L8"/>
      <w:lvlText w:val="%7."/>
      <w:lvlJc w:val="left"/>
      <w:pPr>
        <w:tabs>
          <w:tab w:val="num" w:pos="5040"/>
        </w:tabs>
        <w:ind w:left="0" w:firstLine="432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lvl w:ilvl="7">
      <w:start w:val="1"/>
      <w:numFmt w:val="lowerLetter"/>
      <w:pStyle w:val="Legal2L9"/>
      <w:lvlText w:val="(%8)"/>
      <w:lvlJc w:val="left"/>
      <w:pPr>
        <w:tabs>
          <w:tab w:val="num" w:pos="1440"/>
        </w:tabs>
        <w:ind w:left="0" w:firstLine="72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lvl w:ilvl="8">
      <w:start w:val="1"/>
      <w:numFmt w:val="lowerRoman"/>
      <w:lvlText w:val="(%9)"/>
      <w:lvlJc w:val="left"/>
      <w:pPr>
        <w:tabs>
          <w:tab w:val="num" w:pos="2160"/>
        </w:tabs>
        <w:ind w:left="0" w:firstLine="1440"/>
      </w:pPr>
      <w:rPr>
        <w:rFonts w:ascii="Times New Roman" w:hAnsi="Times New Roman" w:hint="default"/>
        <w:b/>
        <w:i w:val="0"/>
        <w:caps w:val="0"/>
        <w:strike w:val="0"/>
        <w:dstrike w:val="0"/>
        <w:outline w:val="0"/>
        <w:shadow w:val="0"/>
        <w:emboss w:val="0"/>
        <w:imprint w:val="0"/>
        <w:vanish w:val="0"/>
        <w:color w:val="auto"/>
        <w:sz w:val="24"/>
        <w:u w:val="none"/>
        <w:effect w:val="none"/>
        <w:vertAlign w:val="baseline"/>
      </w:rPr>
    </w:lvl>
  </w:abstractNum>
  <w:abstractNum w:abstractNumId="7">
    <w:nsid w:val="3C9C6671"/>
    <w:multiLevelType w:val="multilevel"/>
    <w:tmpl w:val="33048D76"/>
    <w:lvl w:ilvl="0">
      <w:start w:val="1"/>
      <w:numFmt w:val="decimal"/>
      <w:pStyle w:val="H1"/>
      <w:lvlText w:val="%1"/>
      <w:lvlJc w:val="left"/>
      <w:pPr>
        <w:ind w:left="1008" w:hanging="1008"/>
      </w:pPr>
      <w:rPr>
        <w:rFonts w:hint="default"/>
      </w:rPr>
    </w:lvl>
    <w:lvl w:ilvl="1">
      <w:start w:val="1"/>
      <w:numFmt w:val="decimal"/>
      <w:pStyle w:val="H2"/>
      <w:lvlText w:val="%1.%2"/>
      <w:lvlJc w:val="left"/>
      <w:pPr>
        <w:ind w:left="1008" w:hanging="1008"/>
      </w:pPr>
      <w:rPr>
        <w:rFonts w:cs="Times New Roman"/>
        <w:b/>
        <w:bCs w:val="0"/>
        <w:i w:val="0"/>
        <w:iCs w:val="0"/>
        <w:caps w:val="0"/>
        <w:smallCaps w:val="0"/>
        <w:strike w:val="0"/>
        <w:dstrike w:val="0"/>
        <w:outline w:val="0"/>
        <w:shadow w:val="0"/>
        <w:emboss w:val="0"/>
        <w:imprint w:val="0"/>
        <w:noProof w:val="0"/>
        <w:vanish w:val="0"/>
        <w:color w:val="000000"/>
        <w:spacing w:val="0"/>
        <w:kern w:val="0"/>
        <w:position w:val="0"/>
        <w:u w:val="none"/>
        <w:vertAlign w:val="baseline"/>
        <w:em w:val="none"/>
      </w:rPr>
    </w:lvl>
    <w:lvl w:ilvl="2">
      <w:start w:val="1"/>
      <w:numFmt w:val="decimal"/>
      <w:pStyle w:val="H3"/>
      <w:lvlText w:val="%1.%2.%3"/>
      <w:lvlJc w:val="left"/>
      <w:pPr>
        <w:ind w:left="1098" w:hanging="1008"/>
      </w:pPr>
      <w:rPr>
        <w:rFonts w:hint="default"/>
      </w:rPr>
    </w:lvl>
    <w:lvl w:ilvl="3">
      <w:start w:val="1"/>
      <w:numFmt w:val="decimal"/>
      <w:pStyle w:val="H4"/>
      <w:lvlText w:val="%1.%2.%3.%4"/>
      <w:lvlJc w:val="left"/>
      <w:pPr>
        <w:ind w:left="1008" w:hanging="1008"/>
      </w:pPr>
      <w:rPr>
        <w:rFonts w:hint="default"/>
      </w:rPr>
    </w:lvl>
    <w:lvl w:ilvl="4">
      <w:start w:val="1"/>
      <w:numFmt w:val="decimal"/>
      <w:pStyle w:val="H5"/>
      <w:lvlText w:val="%1.%2.%3.%4.%5"/>
      <w:lvlJc w:val="left"/>
      <w:pPr>
        <w:ind w:left="1008" w:hanging="1008"/>
      </w:pPr>
      <w:rPr>
        <w:rFonts w:hint="default"/>
      </w:rPr>
    </w:lvl>
    <w:lvl w:ilvl="5">
      <w:start w:val="1"/>
      <w:numFmt w:val="decimal"/>
      <w:lvlText w:val="%1.%2.%3.%4.%5.%6"/>
      <w:lvlJc w:val="left"/>
      <w:pPr>
        <w:ind w:left="1008" w:hanging="1008"/>
      </w:pPr>
      <w:rPr>
        <w:rFonts w:hint="default"/>
      </w:rPr>
    </w:lvl>
    <w:lvl w:ilvl="6">
      <w:start w:val="1"/>
      <w:numFmt w:val="decimal"/>
      <w:lvlText w:val="%1.%2.%3.%4.%5.%6.%7"/>
      <w:lvlJc w:val="left"/>
      <w:pPr>
        <w:ind w:left="1008" w:hanging="1008"/>
      </w:pPr>
      <w:rPr>
        <w:rFonts w:hint="default"/>
      </w:rPr>
    </w:lvl>
    <w:lvl w:ilvl="7">
      <w:start w:val="1"/>
      <w:numFmt w:val="decimal"/>
      <w:lvlText w:val="%1.%2.%3.%4.%5.%6.%7.%8"/>
      <w:lvlJc w:val="left"/>
      <w:pPr>
        <w:ind w:left="1008" w:hanging="1008"/>
      </w:pPr>
      <w:rPr>
        <w:rFonts w:hint="default"/>
      </w:rPr>
    </w:lvl>
    <w:lvl w:ilvl="8">
      <w:start w:val="1"/>
      <w:numFmt w:val="decimal"/>
      <w:lvlText w:val="%1.%2.%3.%4.%5.%6.%7.%8.%9"/>
      <w:lvlJc w:val="left"/>
      <w:pPr>
        <w:ind w:left="1008" w:hanging="1008"/>
      </w:pPr>
      <w:rPr>
        <w:rFonts w:hint="default"/>
      </w:rPr>
    </w:lvl>
  </w:abstractNum>
  <w:abstractNum w:abstractNumId="8">
    <w:nsid w:val="441B1352"/>
    <w:multiLevelType w:val="multilevel"/>
    <w:tmpl w:val="8C7E324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52F960D7"/>
    <w:multiLevelType w:val="hybridMultilevel"/>
    <w:tmpl w:val="915A9530"/>
    <w:lvl w:ilvl="0" w:tplc="7BE46E2C">
      <w:start w:val="1"/>
      <w:numFmt w:val="upperLetter"/>
      <w:pStyle w:val="LIST1ALPHA25"/>
      <w:lvlText w:val="%1."/>
      <w:lvlJc w:val="left"/>
      <w:pPr>
        <w:tabs>
          <w:tab w:val="num" w:pos="720"/>
        </w:tabs>
        <w:ind w:left="720" w:hanging="360"/>
      </w:pPr>
      <w:rPr>
        <w:rFonts w:ascii="Arial Bold" w:hAnsi="Arial Bold" w:cs="Tms Rmn" w:hint="default"/>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D3922468">
      <w:start w:val="1"/>
      <w:numFmt w:val="decimal"/>
      <w:pStyle w:val="List2arabic05"/>
      <w:lvlText w:val="%2."/>
      <w:lvlJc w:val="left"/>
      <w:pPr>
        <w:tabs>
          <w:tab w:val="num" w:pos="1080"/>
        </w:tabs>
        <w:ind w:left="108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611D33"/>
    <w:multiLevelType w:val="hybridMultilevel"/>
    <w:tmpl w:val="EACE617E"/>
    <w:lvl w:ilvl="0" w:tplc="BF06D912">
      <w:start w:val="1"/>
      <w:numFmt w:val="bullet"/>
      <w:pStyle w:val="bulletedlist"/>
      <w:lvlText w:val=""/>
      <w:lvlJc w:val="left"/>
      <w:pPr>
        <w:ind w:left="1368" w:hanging="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1">
    <w:nsid w:val="670B67E2"/>
    <w:multiLevelType w:val="hybridMultilevel"/>
    <w:tmpl w:val="EB18B416"/>
    <w:lvl w:ilvl="0" w:tplc="984871D6">
      <w:start w:val="1"/>
      <w:numFmt w:val="bullet"/>
      <w:pStyle w:val="LISTBULLET105"/>
      <w:lvlText w:val=""/>
      <w:lvlJc w:val="left"/>
      <w:pPr>
        <w:tabs>
          <w:tab w:val="num" w:pos="1384"/>
        </w:tabs>
        <w:ind w:left="1384" w:hanging="360"/>
      </w:pPr>
      <w:rPr>
        <w:rFonts w:ascii="Symbol" w:hAnsi="Symbol" w:hint="default"/>
      </w:rPr>
    </w:lvl>
    <w:lvl w:ilvl="1" w:tplc="04090003">
      <w:start w:val="1"/>
      <w:numFmt w:val="bullet"/>
      <w:lvlText w:val="o"/>
      <w:lvlJc w:val="left"/>
      <w:pPr>
        <w:tabs>
          <w:tab w:val="num" w:pos="2104"/>
        </w:tabs>
        <w:ind w:left="2104" w:hanging="360"/>
      </w:pPr>
      <w:rPr>
        <w:rFonts w:ascii="Courier New" w:hAnsi="Courier New" w:hint="default"/>
      </w:rPr>
    </w:lvl>
    <w:lvl w:ilvl="2" w:tplc="04090005">
      <w:start w:val="1"/>
      <w:numFmt w:val="bullet"/>
      <w:lvlText w:val=""/>
      <w:lvlJc w:val="left"/>
      <w:pPr>
        <w:tabs>
          <w:tab w:val="num" w:pos="2824"/>
        </w:tabs>
        <w:ind w:left="2824" w:hanging="360"/>
      </w:pPr>
      <w:rPr>
        <w:rFonts w:ascii="Wingdings" w:hAnsi="Wingdings" w:hint="default"/>
      </w:rPr>
    </w:lvl>
    <w:lvl w:ilvl="3" w:tplc="04090001" w:tentative="1">
      <w:start w:val="1"/>
      <w:numFmt w:val="bullet"/>
      <w:lvlText w:val=""/>
      <w:lvlJc w:val="left"/>
      <w:pPr>
        <w:tabs>
          <w:tab w:val="num" w:pos="3544"/>
        </w:tabs>
        <w:ind w:left="3544" w:hanging="360"/>
      </w:pPr>
      <w:rPr>
        <w:rFonts w:ascii="Symbol" w:hAnsi="Symbol" w:hint="default"/>
      </w:rPr>
    </w:lvl>
    <w:lvl w:ilvl="4" w:tplc="04090003" w:tentative="1">
      <w:start w:val="1"/>
      <w:numFmt w:val="bullet"/>
      <w:lvlText w:val="o"/>
      <w:lvlJc w:val="left"/>
      <w:pPr>
        <w:tabs>
          <w:tab w:val="num" w:pos="4264"/>
        </w:tabs>
        <w:ind w:left="4264" w:hanging="360"/>
      </w:pPr>
      <w:rPr>
        <w:rFonts w:ascii="Courier New" w:hAnsi="Courier New" w:hint="default"/>
      </w:rPr>
    </w:lvl>
    <w:lvl w:ilvl="5" w:tplc="04090005" w:tentative="1">
      <w:start w:val="1"/>
      <w:numFmt w:val="bullet"/>
      <w:lvlText w:val=""/>
      <w:lvlJc w:val="left"/>
      <w:pPr>
        <w:tabs>
          <w:tab w:val="num" w:pos="4984"/>
        </w:tabs>
        <w:ind w:left="4984" w:hanging="360"/>
      </w:pPr>
      <w:rPr>
        <w:rFonts w:ascii="Wingdings" w:hAnsi="Wingdings" w:hint="default"/>
      </w:rPr>
    </w:lvl>
    <w:lvl w:ilvl="6" w:tplc="04090001" w:tentative="1">
      <w:start w:val="1"/>
      <w:numFmt w:val="bullet"/>
      <w:lvlText w:val=""/>
      <w:lvlJc w:val="left"/>
      <w:pPr>
        <w:tabs>
          <w:tab w:val="num" w:pos="5704"/>
        </w:tabs>
        <w:ind w:left="5704" w:hanging="360"/>
      </w:pPr>
      <w:rPr>
        <w:rFonts w:ascii="Symbol" w:hAnsi="Symbol" w:hint="default"/>
      </w:rPr>
    </w:lvl>
    <w:lvl w:ilvl="7" w:tplc="04090003" w:tentative="1">
      <w:start w:val="1"/>
      <w:numFmt w:val="bullet"/>
      <w:lvlText w:val="o"/>
      <w:lvlJc w:val="left"/>
      <w:pPr>
        <w:tabs>
          <w:tab w:val="num" w:pos="6424"/>
        </w:tabs>
        <w:ind w:left="6424" w:hanging="360"/>
      </w:pPr>
      <w:rPr>
        <w:rFonts w:ascii="Courier New" w:hAnsi="Courier New" w:hint="default"/>
      </w:rPr>
    </w:lvl>
    <w:lvl w:ilvl="8" w:tplc="04090005" w:tentative="1">
      <w:start w:val="1"/>
      <w:numFmt w:val="bullet"/>
      <w:lvlText w:val=""/>
      <w:lvlJc w:val="left"/>
      <w:pPr>
        <w:tabs>
          <w:tab w:val="num" w:pos="7144"/>
        </w:tabs>
        <w:ind w:left="7144" w:hanging="360"/>
      </w:pPr>
      <w:rPr>
        <w:rFonts w:ascii="Wingdings" w:hAnsi="Wingdings" w:hint="default"/>
      </w:rPr>
    </w:lvl>
  </w:abstractNum>
  <w:abstractNum w:abstractNumId="12">
    <w:nsid w:val="6E2562F4"/>
    <w:multiLevelType w:val="hybridMultilevel"/>
    <w:tmpl w:val="FE0A4A70"/>
    <w:lvl w:ilvl="0" w:tplc="51D4B376">
      <w:start w:val="1"/>
      <w:numFmt w:val="lowerLetter"/>
      <w:pStyle w:val="Listcontractitems3"/>
      <w:lvlText w:val="(%1)"/>
      <w:lvlJc w:val="left"/>
      <w:pPr>
        <w:ind w:left="720" w:hanging="360"/>
      </w:pPr>
      <w:rPr>
        <w:rFonts w:ascii="Arial Bold" w:hAnsi="Arial Bold" w:cs="Times New Roman" w:hint="default"/>
        <w:b/>
        <w:i/>
        <w:sz w:val="18"/>
      </w:rPr>
    </w:lvl>
    <w:lvl w:ilvl="1" w:tplc="568A75FA" w:tentative="1">
      <w:start w:val="1"/>
      <w:numFmt w:val="lowerLetter"/>
      <w:lvlText w:val="%2."/>
      <w:lvlJc w:val="left"/>
      <w:pPr>
        <w:ind w:left="1440" w:hanging="360"/>
      </w:pPr>
      <w:rPr>
        <w:rFonts w:cs="Times New Roman"/>
      </w:rPr>
    </w:lvl>
    <w:lvl w:ilvl="2" w:tplc="7506F8EA" w:tentative="1">
      <w:start w:val="1"/>
      <w:numFmt w:val="lowerRoman"/>
      <w:lvlText w:val="%3."/>
      <w:lvlJc w:val="right"/>
      <w:pPr>
        <w:ind w:left="2160" w:hanging="180"/>
      </w:pPr>
      <w:rPr>
        <w:rFonts w:cs="Times New Roman"/>
      </w:rPr>
    </w:lvl>
    <w:lvl w:ilvl="3" w:tplc="D390F174" w:tentative="1">
      <w:start w:val="1"/>
      <w:numFmt w:val="decimal"/>
      <w:lvlText w:val="%4."/>
      <w:lvlJc w:val="left"/>
      <w:pPr>
        <w:ind w:left="2880" w:hanging="360"/>
      </w:pPr>
      <w:rPr>
        <w:rFonts w:cs="Times New Roman"/>
      </w:rPr>
    </w:lvl>
    <w:lvl w:ilvl="4" w:tplc="758862E0" w:tentative="1">
      <w:start w:val="1"/>
      <w:numFmt w:val="lowerLetter"/>
      <w:lvlText w:val="%5."/>
      <w:lvlJc w:val="left"/>
      <w:pPr>
        <w:ind w:left="3600" w:hanging="360"/>
      </w:pPr>
      <w:rPr>
        <w:rFonts w:cs="Times New Roman"/>
      </w:rPr>
    </w:lvl>
    <w:lvl w:ilvl="5" w:tplc="AF141E1C" w:tentative="1">
      <w:start w:val="1"/>
      <w:numFmt w:val="lowerRoman"/>
      <w:lvlText w:val="%6."/>
      <w:lvlJc w:val="right"/>
      <w:pPr>
        <w:ind w:left="4320" w:hanging="180"/>
      </w:pPr>
      <w:rPr>
        <w:rFonts w:cs="Times New Roman"/>
      </w:rPr>
    </w:lvl>
    <w:lvl w:ilvl="6" w:tplc="9ACCFADC" w:tentative="1">
      <w:start w:val="1"/>
      <w:numFmt w:val="decimal"/>
      <w:lvlText w:val="%7."/>
      <w:lvlJc w:val="left"/>
      <w:pPr>
        <w:ind w:left="5040" w:hanging="360"/>
      </w:pPr>
      <w:rPr>
        <w:rFonts w:cs="Times New Roman"/>
      </w:rPr>
    </w:lvl>
    <w:lvl w:ilvl="7" w:tplc="6C242938" w:tentative="1">
      <w:start w:val="1"/>
      <w:numFmt w:val="lowerLetter"/>
      <w:lvlText w:val="%8."/>
      <w:lvlJc w:val="left"/>
      <w:pPr>
        <w:ind w:left="5760" w:hanging="360"/>
      </w:pPr>
      <w:rPr>
        <w:rFonts w:cs="Times New Roman"/>
      </w:rPr>
    </w:lvl>
    <w:lvl w:ilvl="8" w:tplc="C02AB2E6" w:tentative="1">
      <w:start w:val="1"/>
      <w:numFmt w:val="lowerRoman"/>
      <w:lvlText w:val="%9."/>
      <w:lvlJc w:val="right"/>
      <w:pPr>
        <w:ind w:left="6480" w:hanging="180"/>
      </w:pPr>
      <w:rPr>
        <w:rFonts w:cs="Times New Roman"/>
      </w:rPr>
    </w:lvl>
  </w:abstractNum>
  <w:abstractNum w:abstractNumId="13">
    <w:nsid w:val="71464B69"/>
    <w:multiLevelType w:val="hybridMultilevel"/>
    <w:tmpl w:val="7EE0CE26"/>
    <w:lvl w:ilvl="0" w:tplc="B76C37D6">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25A467A"/>
    <w:multiLevelType w:val="hybridMultilevel"/>
    <w:tmpl w:val="C020FFE4"/>
    <w:lvl w:ilvl="0" w:tplc="9B56D3D8">
      <w:start w:val="1"/>
      <w:numFmt w:val="upperLetter"/>
      <w:pStyle w:val="LegaleseAlpha"/>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num w:numId="1">
    <w:abstractNumId w:val="13"/>
  </w:num>
  <w:num w:numId="2">
    <w:abstractNumId w:val="8"/>
  </w:num>
  <w:num w:numId="3">
    <w:abstractNumId w:val="6"/>
  </w:num>
  <w:num w:numId="4">
    <w:abstractNumId w:val="4"/>
  </w:num>
  <w:num w:numId="5">
    <w:abstractNumId w:val="11"/>
  </w:num>
  <w:num w:numId="6">
    <w:abstractNumId w:val="10"/>
  </w:num>
  <w:num w:numId="7">
    <w:abstractNumId w:val="1"/>
  </w:num>
  <w:num w:numId="8">
    <w:abstractNumId w:val="7"/>
  </w:num>
  <w:num w:numId="9">
    <w:abstractNumId w:val="3"/>
  </w:num>
  <w:num w:numId="10">
    <w:abstractNumId w:val="12"/>
  </w:num>
  <w:num w:numId="11">
    <w:abstractNumId w:val="0"/>
  </w:num>
  <w:num w:numId="12">
    <w:abstractNumId w:val="2"/>
  </w:num>
  <w:num w:numId="13">
    <w:abstractNumId w:val="14"/>
  </w:num>
  <w:num w:numId="14">
    <w:abstractNumId w:val="9"/>
  </w:num>
  <w:num w:numId="15">
    <w:abstractNumId w:val="10"/>
  </w:num>
  <w:num w:numId="16">
    <w:abstractNumId w:val="5"/>
  </w:num>
  <w:num w:numId="17">
    <w:abstractNumId w:val="7"/>
  </w:num>
  <w:num w:numId="18">
    <w:abstractNumId w:val="7"/>
  </w:num>
  <w:num w:numId="19">
    <w:abstractNumId w:val="7"/>
  </w:num>
  <w:num w:numId="20">
    <w:abstractNumId w:val="7"/>
  </w:num>
  <w:num w:numId="21">
    <w:abstractNumId w:val="7"/>
  </w:num>
  <w:num w:numId="22">
    <w:abstractNumId w:val="7"/>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3001"/>
  <w:defaultTabStop w:val="720"/>
  <w:drawingGridHorizontalSpacing w:val="90"/>
  <w:displayHorizontalDrawingGridEvery w:val="2"/>
  <w:characterSpacingControl w:val="doNotCompress"/>
  <w:footnotePr>
    <w:footnote w:id="-1"/>
    <w:footnote w:id="0"/>
  </w:footnotePr>
  <w:endnotePr>
    <w:endnote w:id="-1"/>
    <w:endnote w:id="0"/>
  </w:endnotePr>
  <w:compat>
    <w:useFELayout/>
  </w:compat>
  <w:rsids>
    <w:rsidRoot w:val="00590BE1"/>
    <w:rsid w:val="00000380"/>
    <w:rsid w:val="00010B01"/>
    <w:rsid w:val="00013DCD"/>
    <w:rsid w:val="00014283"/>
    <w:rsid w:val="00014DB2"/>
    <w:rsid w:val="00016216"/>
    <w:rsid w:val="000216A5"/>
    <w:rsid w:val="00021FA9"/>
    <w:rsid w:val="00031AD2"/>
    <w:rsid w:val="000355A1"/>
    <w:rsid w:val="00036430"/>
    <w:rsid w:val="000403D2"/>
    <w:rsid w:val="00057177"/>
    <w:rsid w:val="00062211"/>
    <w:rsid w:val="0006299A"/>
    <w:rsid w:val="000645BD"/>
    <w:rsid w:val="00065668"/>
    <w:rsid w:val="0007556B"/>
    <w:rsid w:val="00077FB3"/>
    <w:rsid w:val="00093C3E"/>
    <w:rsid w:val="000A51EC"/>
    <w:rsid w:val="000A6C8C"/>
    <w:rsid w:val="000B5FB4"/>
    <w:rsid w:val="000C5B1A"/>
    <w:rsid w:val="000D6298"/>
    <w:rsid w:val="000E0B04"/>
    <w:rsid w:val="000E2776"/>
    <w:rsid w:val="000E420F"/>
    <w:rsid w:val="000F281A"/>
    <w:rsid w:val="000F308B"/>
    <w:rsid w:val="000F6D0A"/>
    <w:rsid w:val="0010095D"/>
    <w:rsid w:val="0010137B"/>
    <w:rsid w:val="00102336"/>
    <w:rsid w:val="00102494"/>
    <w:rsid w:val="001044BF"/>
    <w:rsid w:val="00112561"/>
    <w:rsid w:val="00116056"/>
    <w:rsid w:val="00122A69"/>
    <w:rsid w:val="00122AB2"/>
    <w:rsid w:val="00124FF1"/>
    <w:rsid w:val="001278BA"/>
    <w:rsid w:val="00127DE5"/>
    <w:rsid w:val="00130055"/>
    <w:rsid w:val="00133EB5"/>
    <w:rsid w:val="00133FA6"/>
    <w:rsid w:val="0013765B"/>
    <w:rsid w:val="0014426E"/>
    <w:rsid w:val="0014607A"/>
    <w:rsid w:val="0015395C"/>
    <w:rsid w:val="00161CFC"/>
    <w:rsid w:val="001626B7"/>
    <w:rsid w:val="00165A6C"/>
    <w:rsid w:val="0017087E"/>
    <w:rsid w:val="00172C6D"/>
    <w:rsid w:val="001730C1"/>
    <w:rsid w:val="00174DA0"/>
    <w:rsid w:val="00174E69"/>
    <w:rsid w:val="001831F5"/>
    <w:rsid w:val="001843CD"/>
    <w:rsid w:val="00193552"/>
    <w:rsid w:val="00193E30"/>
    <w:rsid w:val="00193FDF"/>
    <w:rsid w:val="00195F2D"/>
    <w:rsid w:val="001A0236"/>
    <w:rsid w:val="001A5003"/>
    <w:rsid w:val="001A582F"/>
    <w:rsid w:val="001B6C20"/>
    <w:rsid w:val="001B7B2F"/>
    <w:rsid w:val="001C3AFA"/>
    <w:rsid w:val="001C6305"/>
    <w:rsid w:val="001D192B"/>
    <w:rsid w:val="001E2C60"/>
    <w:rsid w:val="001E4A70"/>
    <w:rsid w:val="001E71D6"/>
    <w:rsid w:val="001F0263"/>
    <w:rsid w:val="001F10AE"/>
    <w:rsid w:val="001F2770"/>
    <w:rsid w:val="001F2849"/>
    <w:rsid w:val="001F2C53"/>
    <w:rsid w:val="001F32AF"/>
    <w:rsid w:val="00200180"/>
    <w:rsid w:val="00203278"/>
    <w:rsid w:val="002079F4"/>
    <w:rsid w:val="00212EC1"/>
    <w:rsid w:val="002138BA"/>
    <w:rsid w:val="002205C5"/>
    <w:rsid w:val="0022094F"/>
    <w:rsid w:val="00221689"/>
    <w:rsid w:val="00223507"/>
    <w:rsid w:val="002243DE"/>
    <w:rsid w:val="002247AC"/>
    <w:rsid w:val="00226818"/>
    <w:rsid w:val="0022751D"/>
    <w:rsid w:val="002346B0"/>
    <w:rsid w:val="00236E86"/>
    <w:rsid w:val="00241440"/>
    <w:rsid w:val="00241D61"/>
    <w:rsid w:val="00243A54"/>
    <w:rsid w:val="00246413"/>
    <w:rsid w:val="00251753"/>
    <w:rsid w:val="002533F5"/>
    <w:rsid w:val="00262AA9"/>
    <w:rsid w:val="002635F4"/>
    <w:rsid w:val="00263B20"/>
    <w:rsid w:val="00264DF6"/>
    <w:rsid w:val="00264F16"/>
    <w:rsid w:val="00267DAC"/>
    <w:rsid w:val="00271905"/>
    <w:rsid w:val="00272348"/>
    <w:rsid w:val="002766A8"/>
    <w:rsid w:val="002777BB"/>
    <w:rsid w:val="002830B9"/>
    <w:rsid w:val="00283433"/>
    <w:rsid w:val="002942E3"/>
    <w:rsid w:val="00294D85"/>
    <w:rsid w:val="00296902"/>
    <w:rsid w:val="002B1655"/>
    <w:rsid w:val="002B2CCF"/>
    <w:rsid w:val="002B50E3"/>
    <w:rsid w:val="002B5157"/>
    <w:rsid w:val="002B5D11"/>
    <w:rsid w:val="002B625E"/>
    <w:rsid w:val="002B6B84"/>
    <w:rsid w:val="002B6E73"/>
    <w:rsid w:val="002D6AB2"/>
    <w:rsid w:val="002E2DAA"/>
    <w:rsid w:val="002E5BF0"/>
    <w:rsid w:val="002E67AD"/>
    <w:rsid w:val="002E6E16"/>
    <w:rsid w:val="00306B2E"/>
    <w:rsid w:val="00324476"/>
    <w:rsid w:val="00335FA3"/>
    <w:rsid w:val="003370E3"/>
    <w:rsid w:val="00345626"/>
    <w:rsid w:val="00345ACD"/>
    <w:rsid w:val="0034691F"/>
    <w:rsid w:val="00347823"/>
    <w:rsid w:val="00361D22"/>
    <w:rsid w:val="00364792"/>
    <w:rsid w:val="00365B66"/>
    <w:rsid w:val="00365D0D"/>
    <w:rsid w:val="00373E59"/>
    <w:rsid w:val="0038255E"/>
    <w:rsid w:val="00382773"/>
    <w:rsid w:val="003862FB"/>
    <w:rsid w:val="0039124A"/>
    <w:rsid w:val="00394453"/>
    <w:rsid w:val="003B5CCD"/>
    <w:rsid w:val="003B6359"/>
    <w:rsid w:val="003C2688"/>
    <w:rsid w:val="003C6AB5"/>
    <w:rsid w:val="003D4125"/>
    <w:rsid w:val="003D6D1E"/>
    <w:rsid w:val="003E133E"/>
    <w:rsid w:val="003E4E3C"/>
    <w:rsid w:val="003E7C39"/>
    <w:rsid w:val="003F3623"/>
    <w:rsid w:val="003F5C4D"/>
    <w:rsid w:val="003F770E"/>
    <w:rsid w:val="003F7F8D"/>
    <w:rsid w:val="004025E6"/>
    <w:rsid w:val="0041218A"/>
    <w:rsid w:val="00416FFC"/>
    <w:rsid w:val="00420CB4"/>
    <w:rsid w:val="00431018"/>
    <w:rsid w:val="0043296B"/>
    <w:rsid w:val="00436184"/>
    <w:rsid w:val="00440E70"/>
    <w:rsid w:val="004442A2"/>
    <w:rsid w:val="004459C4"/>
    <w:rsid w:val="00465E37"/>
    <w:rsid w:val="00466011"/>
    <w:rsid w:val="00466DE7"/>
    <w:rsid w:val="00466E4D"/>
    <w:rsid w:val="00472177"/>
    <w:rsid w:val="00472249"/>
    <w:rsid w:val="0047232E"/>
    <w:rsid w:val="00474AE1"/>
    <w:rsid w:val="00475F5A"/>
    <w:rsid w:val="0048588E"/>
    <w:rsid w:val="00490765"/>
    <w:rsid w:val="00492978"/>
    <w:rsid w:val="004934FC"/>
    <w:rsid w:val="00496021"/>
    <w:rsid w:val="00496367"/>
    <w:rsid w:val="00496F65"/>
    <w:rsid w:val="00497736"/>
    <w:rsid w:val="004A2112"/>
    <w:rsid w:val="004A2C2B"/>
    <w:rsid w:val="004A3972"/>
    <w:rsid w:val="004A3A22"/>
    <w:rsid w:val="004A6EB1"/>
    <w:rsid w:val="004B6426"/>
    <w:rsid w:val="004C50EB"/>
    <w:rsid w:val="004C7BD4"/>
    <w:rsid w:val="004D4B10"/>
    <w:rsid w:val="004D66D8"/>
    <w:rsid w:val="004E07A5"/>
    <w:rsid w:val="004E3CD6"/>
    <w:rsid w:val="004E7C3E"/>
    <w:rsid w:val="004F0ADD"/>
    <w:rsid w:val="004F47CC"/>
    <w:rsid w:val="00500038"/>
    <w:rsid w:val="00502C15"/>
    <w:rsid w:val="00502C89"/>
    <w:rsid w:val="00503B48"/>
    <w:rsid w:val="00510719"/>
    <w:rsid w:val="00510887"/>
    <w:rsid w:val="00527B8B"/>
    <w:rsid w:val="00540116"/>
    <w:rsid w:val="00552B0F"/>
    <w:rsid w:val="00554E42"/>
    <w:rsid w:val="005610BB"/>
    <w:rsid w:val="00565FFD"/>
    <w:rsid w:val="00567BAD"/>
    <w:rsid w:val="00570E2E"/>
    <w:rsid w:val="00576797"/>
    <w:rsid w:val="00583219"/>
    <w:rsid w:val="00590BE1"/>
    <w:rsid w:val="00593792"/>
    <w:rsid w:val="005953D4"/>
    <w:rsid w:val="005A168C"/>
    <w:rsid w:val="005A448F"/>
    <w:rsid w:val="005A5040"/>
    <w:rsid w:val="005C52E0"/>
    <w:rsid w:val="005C58D8"/>
    <w:rsid w:val="005C6C0A"/>
    <w:rsid w:val="005D3417"/>
    <w:rsid w:val="005E0A67"/>
    <w:rsid w:val="005E2F1C"/>
    <w:rsid w:val="005E3971"/>
    <w:rsid w:val="005F222D"/>
    <w:rsid w:val="005F23F6"/>
    <w:rsid w:val="006004BC"/>
    <w:rsid w:val="006026DB"/>
    <w:rsid w:val="00606D9D"/>
    <w:rsid w:val="00607B85"/>
    <w:rsid w:val="006147BA"/>
    <w:rsid w:val="00614BC8"/>
    <w:rsid w:val="00614F38"/>
    <w:rsid w:val="006154B3"/>
    <w:rsid w:val="006165A5"/>
    <w:rsid w:val="00621A36"/>
    <w:rsid w:val="00625253"/>
    <w:rsid w:val="00627BF6"/>
    <w:rsid w:val="0064032B"/>
    <w:rsid w:val="00641E48"/>
    <w:rsid w:val="0064249B"/>
    <w:rsid w:val="006443A2"/>
    <w:rsid w:val="00644CDA"/>
    <w:rsid w:val="00644D13"/>
    <w:rsid w:val="00646221"/>
    <w:rsid w:val="0064644B"/>
    <w:rsid w:val="00651167"/>
    <w:rsid w:val="00651302"/>
    <w:rsid w:val="006525F6"/>
    <w:rsid w:val="00657BB3"/>
    <w:rsid w:val="00657FAA"/>
    <w:rsid w:val="00681AE2"/>
    <w:rsid w:val="006867D7"/>
    <w:rsid w:val="00691717"/>
    <w:rsid w:val="00693361"/>
    <w:rsid w:val="00696701"/>
    <w:rsid w:val="006A0650"/>
    <w:rsid w:val="006A0B18"/>
    <w:rsid w:val="006A4E70"/>
    <w:rsid w:val="006B36E4"/>
    <w:rsid w:val="006B47A0"/>
    <w:rsid w:val="006C0477"/>
    <w:rsid w:val="006C3AA4"/>
    <w:rsid w:val="006C3BDA"/>
    <w:rsid w:val="006C4733"/>
    <w:rsid w:val="006C6D50"/>
    <w:rsid w:val="006D488A"/>
    <w:rsid w:val="006D6E8B"/>
    <w:rsid w:val="006E0978"/>
    <w:rsid w:val="006E3FB6"/>
    <w:rsid w:val="006E4E0B"/>
    <w:rsid w:val="006E548D"/>
    <w:rsid w:val="006E7E22"/>
    <w:rsid w:val="006F5C2E"/>
    <w:rsid w:val="006F6CA5"/>
    <w:rsid w:val="00701292"/>
    <w:rsid w:val="0070527C"/>
    <w:rsid w:val="00705AE1"/>
    <w:rsid w:val="00720575"/>
    <w:rsid w:val="007265FC"/>
    <w:rsid w:val="00726ED2"/>
    <w:rsid w:val="0073403E"/>
    <w:rsid w:val="00734750"/>
    <w:rsid w:val="0073733C"/>
    <w:rsid w:val="007507BB"/>
    <w:rsid w:val="00751561"/>
    <w:rsid w:val="007570AD"/>
    <w:rsid w:val="007605F4"/>
    <w:rsid w:val="00761D6F"/>
    <w:rsid w:val="007659FE"/>
    <w:rsid w:val="00767205"/>
    <w:rsid w:val="0077023B"/>
    <w:rsid w:val="007766A8"/>
    <w:rsid w:val="0078329A"/>
    <w:rsid w:val="00786F9F"/>
    <w:rsid w:val="007A1BD6"/>
    <w:rsid w:val="007A1FE2"/>
    <w:rsid w:val="007A2D3E"/>
    <w:rsid w:val="007A5F22"/>
    <w:rsid w:val="007B2D6A"/>
    <w:rsid w:val="007B5710"/>
    <w:rsid w:val="007C05DC"/>
    <w:rsid w:val="007C0635"/>
    <w:rsid w:val="007C11EE"/>
    <w:rsid w:val="007C3508"/>
    <w:rsid w:val="007C4CB1"/>
    <w:rsid w:val="007C58BB"/>
    <w:rsid w:val="007E1D91"/>
    <w:rsid w:val="007E2DAE"/>
    <w:rsid w:val="007E45BA"/>
    <w:rsid w:val="007E70DF"/>
    <w:rsid w:val="00805910"/>
    <w:rsid w:val="00816E42"/>
    <w:rsid w:val="008179A5"/>
    <w:rsid w:val="00821021"/>
    <w:rsid w:val="008230A9"/>
    <w:rsid w:val="00824550"/>
    <w:rsid w:val="008309A3"/>
    <w:rsid w:val="0084174F"/>
    <w:rsid w:val="00842D3A"/>
    <w:rsid w:val="00842E32"/>
    <w:rsid w:val="00844A48"/>
    <w:rsid w:val="00847540"/>
    <w:rsid w:val="0085142D"/>
    <w:rsid w:val="00860425"/>
    <w:rsid w:val="0086073D"/>
    <w:rsid w:val="008633F0"/>
    <w:rsid w:val="008670C1"/>
    <w:rsid w:val="008710B7"/>
    <w:rsid w:val="008719B5"/>
    <w:rsid w:val="00873D8B"/>
    <w:rsid w:val="00875E97"/>
    <w:rsid w:val="00877B4A"/>
    <w:rsid w:val="00882675"/>
    <w:rsid w:val="00882F42"/>
    <w:rsid w:val="008906C4"/>
    <w:rsid w:val="00893E8A"/>
    <w:rsid w:val="008A1B0D"/>
    <w:rsid w:val="008A2DB2"/>
    <w:rsid w:val="008A5D78"/>
    <w:rsid w:val="008A5DD3"/>
    <w:rsid w:val="008A7A0C"/>
    <w:rsid w:val="008A7A8C"/>
    <w:rsid w:val="008B3E31"/>
    <w:rsid w:val="008B5250"/>
    <w:rsid w:val="008C34B9"/>
    <w:rsid w:val="008C3D7E"/>
    <w:rsid w:val="008C6CE9"/>
    <w:rsid w:val="008D20BB"/>
    <w:rsid w:val="008D3102"/>
    <w:rsid w:val="008D32A9"/>
    <w:rsid w:val="008F2814"/>
    <w:rsid w:val="008F3EC9"/>
    <w:rsid w:val="0090079E"/>
    <w:rsid w:val="00902CB9"/>
    <w:rsid w:val="009031FF"/>
    <w:rsid w:val="00903A50"/>
    <w:rsid w:val="00910B61"/>
    <w:rsid w:val="00913CF1"/>
    <w:rsid w:val="009226AB"/>
    <w:rsid w:val="00930FB3"/>
    <w:rsid w:val="0093206C"/>
    <w:rsid w:val="00932B57"/>
    <w:rsid w:val="00934D2A"/>
    <w:rsid w:val="009410E3"/>
    <w:rsid w:val="00944794"/>
    <w:rsid w:val="00953AB1"/>
    <w:rsid w:val="009562C4"/>
    <w:rsid w:val="009616A5"/>
    <w:rsid w:val="00962FF5"/>
    <w:rsid w:val="009638CB"/>
    <w:rsid w:val="00972B33"/>
    <w:rsid w:val="009737E0"/>
    <w:rsid w:val="00974823"/>
    <w:rsid w:val="00977195"/>
    <w:rsid w:val="00986223"/>
    <w:rsid w:val="009927B6"/>
    <w:rsid w:val="009A01F1"/>
    <w:rsid w:val="009B231C"/>
    <w:rsid w:val="009B3B0D"/>
    <w:rsid w:val="009B5D78"/>
    <w:rsid w:val="009C428E"/>
    <w:rsid w:val="009C6BD9"/>
    <w:rsid w:val="009D56FB"/>
    <w:rsid w:val="009D6237"/>
    <w:rsid w:val="009F6A5C"/>
    <w:rsid w:val="00A074FD"/>
    <w:rsid w:val="00A10A79"/>
    <w:rsid w:val="00A118CF"/>
    <w:rsid w:val="00A12233"/>
    <w:rsid w:val="00A12ACE"/>
    <w:rsid w:val="00A21D64"/>
    <w:rsid w:val="00A24EA7"/>
    <w:rsid w:val="00A2597E"/>
    <w:rsid w:val="00A312DD"/>
    <w:rsid w:val="00A33B0C"/>
    <w:rsid w:val="00A35E92"/>
    <w:rsid w:val="00A5083D"/>
    <w:rsid w:val="00A5388E"/>
    <w:rsid w:val="00A55180"/>
    <w:rsid w:val="00A553CA"/>
    <w:rsid w:val="00A6451F"/>
    <w:rsid w:val="00A83EAD"/>
    <w:rsid w:val="00A85AF5"/>
    <w:rsid w:val="00A935BE"/>
    <w:rsid w:val="00A955FA"/>
    <w:rsid w:val="00AA0EDB"/>
    <w:rsid w:val="00AA4294"/>
    <w:rsid w:val="00AA4641"/>
    <w:rsid w:val="00AA60DB"/>
    <w:rsid w:val="00AB4182"/>
    <w:rsid w:val="00AB49C8"/>
    <w:rsid w:val="00AB4A4B"/>
    <w:rsid w:val="00AB60B4"/>
    <w:rsid w:val="00AB6E01"/>
    <w:rsid w:val="00AC1C84"/>
    <w:rsid w:val="00AE1E46"/>
    <w:rsid w:val="00AE3B34"/>
    <w:rsid w:val="00AE4AD5"/>
    <w:rsid w:val="00AE4F38"/>
    <w:rsid w:val="00AF2457"/>
    <w:rsid w:val="00AF4319"/>
    <w:rsid w:val="00B015F7"/>
    <w:rsid w:val="00B01821"/>
    <w:rsid w:val="00B055B8"/>
    <w:rsid w:val="00B0795F"/>
    <w:rsid w:val="00B14037"/>
    <w:rsid w:val="00B15265"/>
    <w:rsid w:val="00B15B38"/>
    <w:rsid w:val="00B213F7"/>
    <w:rsid w:val="00B25172"/>
    <w:rsid w:val="00B3376E"/>
    <w:rsid w:val="00B37490"/>
    <w:rsid w:val="00B515D6"/>
    <w:rsid w:val="00B544A0"/>
    <w:rsid w:val="00B61028"/>
    <w:rsid w:val="00B627A2"/>
    <w:rsid w:val="00B765E5"/>
    <w:rsid w:val="00B80C65"/>
    <w:rsid w:val="00B84F8D"/>
    <w:rsid w:val="00B86CB3"/>
    <w:rsid w:val="00B958D2"/>
    <w:rsid w:val="00B95EFE"/>
    <w:rsid w:val="00B96FC4"/>
    <w:rsid w:val="00B97568"/>
    <w:rsid w:val="00B97A77"/>
    <w:rsid w:val="00BA3A85"/>
    <w:rsid w:val="00BA4CCE"/>
    <w:rsid w:val="00BB0C35"/>
    <w:rsid w:val="00BB192B"/>
    <w:rsid w:val="00BB48AE"/>
    <w:rsid w:val="00BB5B5B"/>
    <w:rsid w:val="00BC31D2"/>
    <w:rsid w:val="00BC5B3C"/>
    <w:rsid w:val="00BC7756"/>
    <w:rsid w:val="00BD092F"/>
    <w:rsid w:val="00BD0E31"/>
    <w:rsid w:val="00BD2E6E"/>
    <w:rsid w:val="00BD6E49"/>
    <w:rsid w:val="00BD74A0"/>
    <w:rsid w:val="00BE2346"/>
    <w:rsid w:val="00C01BD1"/>
    <w:rsid w:val="00C03141"/>
    <w:rsid w:val="00C04699"/>
    <w:rsid w:val="00C07EA2"/>
    <w:rsid w:val="00C132E9"/>
    <w:rsid w:val="00C134D4"/>
    <w:rsid w:val="00C150CA"/>
    <w:rsid w:val="00C17965"/>
    <w:rsid w:val="00C26AAE"/>
    <w:rsid w:val="00C3155A"/>
    <w:rsid w:val="00C31C50"/>
    <w:rsid w:val="00C44655"/>
    <w:rsid w:val="00C62A89"/>
    <w:rsid w:val="00C63A18"/>
    <w:rsid w:val="00C738F0"/>
    <w:rsid w:val="00C747B1"/>
    <w:rsid w:val="00C74FE6"/>
    <w:rsid w:val="00C77802"/>
    <w:rsid w:val="00C806CA"/>
    <w:rsid w:val="00C95064"/>
    <w:rsid w:val="00C95A83"/>
    <w:rsid w:val="00CA2085"/>
    <w:rsid w:val="00CA37B0"/>
    <w:rsid w:val="00CB10A9"/>
    <w:rsid w:val="00CB563C"/>
    <w:rsid w:val="00CB57AD"/>
    <w:rsid w:val="00CB5A86"/>
    <w:rsid w:val="00CE5F28"/>
    <w:rsid w:val="00CE7497"/>
    <w:rsid w:val="00CF0385"/>
    <w:rsid w:val="00CF320A"/>
    <w:rsid w:val="00CF5E45"/>
    <w:rsid w:val="00D0005B"/>
    <w:rsid w:val="00D00592"/>
    <w:rsid w:val="00D00883"/>
    <w:rsid w:val="00D022A1"/>
    <w:rsid w:val="00D07BE7"/>
    <w:rsid w:val="00D1375F"/>
    <w:rsid w:val="00D15837"/>
    <w:rsid w:val="00D26A7E"/>
    <w:rsid w:val="00D2791D"/>
    <w:rsid w:val="00D36A22"/>
    <w:rsid w:val="00D419A4"/>
    <w:rsid w:val="00D42AE8"/>
    <w:rsid w:val="00D6413B"/>
    <w:rsid w:val="00D65276"/>
    <w:rsid w:val="00D65797"/>
    <w:rsid w:val="00D70EE0"/>
    <w:rsid w:val="00D77E97"/>
    <w:rsid w:val="00D839CF"/>
    <w:rsid w:val="00D84E66"/>
    <w:rsid w:val="00D8522C"/>
    <w:rsid w:val="00D92153"/>
    <w:rsid w:val="00D93CF6"/>
    <w:rsid w:val="00D9400B"/>
    <w:rsid w:val="00D9460C"/>
    <w:rsid w:val="00D95895"/>
    <w:rsid w:val="00D9743A"/>
    <w:rsid w:val="00D97E45"/>
    <w:rsid w:val="00DA0D11"/>
    <w:rsid w:val="00DA276F"/>
    <w:rsid w:val="00DA720F"/>
    <w:rsid w:val="00DA788A"/>
    <w:rsid w:val="00DB5812"/>
    <w:rsid w:val="00DB62F6"/>
    <w:rsid w:val="00DC3280"/>
    <w:rsid w:val="00DC6EA6"/>
    <w:rsid w:val="00DD2DAD"/>
    <w:rsid w:val="00DD2E40"/>
    <w:rsid w:val="00DD59D1"/>
    <w:rsid w:val="00DD600E"/>
    <w:rsid w:val="00DD6D4A"/>
    <w:rsid w:val="00DE15D6"/>
    <w:rsid w:val="00DE3046"/>
    <w:rsid w:val="00DE481D"/>
    <w:rsid w:val="00DE5F83"/>
    <w:rsid w:val="00DF1C1B"/>
    <w:rsid w:val="00DF42D4"/>
    <w:rsid w:val="00DF70E0"/>
    <w:rsid w:val="00E03EBA"/>
    <w:rsid w:val="00E04324"/>
    <w:rsid w:val="00E05734"/>
    <w:rsid w:val="00E1101F"/>
    <w:rsid w:val="00E11BD5"/>
    <w:rsid w:val="00E14289"/>
    <w:rsid w:val="00E17AC8"/>
    <w:rsid w:val="00E2319D"/>
    <w:rsid w:val="00E24904"/>
    <w:rsid w:val="00E323EE"/>
    <w:rsid w:val="00E33DE0"/>
    <w:rsid w:val="00E34FCE"/>
    <w:rsid w:val="00E36242"/>
    <w:rsid w:val="00E46F0A"/>
    <w:rsid w:val="00E5292F"/>
    <w:rsid w:val="00E53F43"/>
    <w:rsid w:val="00E55F03"/>
    <w:rsid w:val="00E635D6"/>
    <w:rsid w:val="00E77A70"/>
    <w:rsid w:val="00E77D40"/>
    <w:rsid w:val="00E830C9"/>
    <w:rsid w:val="00E84293"/>
    <w:rsid w:val="00E85FA6"/>
    <w:rsid w:val="00E911C1"/>
    <w:rsid w:val="00E91FCD"/>
    <w:rsid w:val="00E92038"/>
    <w:rsid w:val="00E932B8"/>
    <w:rsid w:val="00E975EC"/>
    <w:rsid w:val="00EB3744"/>
    <w:rsid w:val="00EB7A1A"/>
    <w:rsid w:val="00EB7F26"/>
    <w:rsid w:val="00EC468A"/>
    <w:rsid w:val="00ED3A01"/>
    <w:rsid w:val="00ED7268"/>
    <w:rsid w:val="00EF0904"/>
    <w:rsid w:val="00EF0DD9"/>
    <w:rsid w:val="00EF647D"/>
    <w:rsid w:val="00EF7A27"/>
    <w:rsid w:val="00F0139A"/>
    <w:rsid w:val="00F0164B"/>
    <w:rsid w:val="00F06AC1"/>
    <w:rsid w:val="00F21F44"/>
    <w:rsid w:val="00F22D51"/>
    <w:rsid w:val="00F378C9"/>
    <w:rsid w:val="00F42322"/>
    <w:rsid w:val="00F44FBF"/>
    <w:rsid w:val="00F47F49"/>
    <w:rsid w:val="00F633E9"/>
    <w:rsid w:val="00F64662"/>
    <w:rsid w:val="00F65F71"/>
    <w:rsid w:val="00F7100B"/>
    <w:rsid w:val="00F71557"/>
    <w:rsid w:val="00F7528B"/>
    <w:rsid w:val="00F821C8"/>
    <w:rsid w:val="00F9051C"/>
    <w:rsid w:val="00F93E91"/>
    <w:rsid w:val="00F94CC9"/>
    <w:rsid w:val="00FA1ACE"/>
    <w:rsid w:val="00FA367A"/>
    <w:rsid w:val="00FA58F5"/>
    <w:rsid w:val="00FB0D9D"/>
    <w:rsid w:val="00FB2B85"/>
    <w:rsid w:val="00FB3404"/>
    <w:rsid w:val="00FB447C"/>
    <w:rsid w:val="00FC1F38"/>
    <w:rsid w:val="00FD0E55"/>
    <w:rsid w:val="00FD155C"/>
    <w:rsid w:val="00FD1E79"/>
    <w:rsid w:val="00FD59C2"/>
    <w:rsid w:val="00FE1273"/>
    <w:rsid w:val="00FE2572"/>
    <w:rsid w:val="00FE3637"/>
    <w:rsid w:val="00FE492E"/>
    <w:rsid w:val="00FE7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476"/>
    <w:pPr>
      <w:spacing w:before="120" w:after="240" w:line="280" w:lineRule="exact"/>
    </w:pPr>
    <w:rPr>
      <w:rFonts w:ascii="Arial" w:eastAsia="Times New Roman" w:hAnsi="Arial"/>
      <w:sz w:val="18"/>
      <w:lang w:val="en-GB"/>
    </w:rPr>
  </w:style>
  <w:style w:type="paragraph" w:styleId="Heading1">
    <w:name w:val="heading 1"/>
    <w:basedOn w:val="Normal"/>
    <w:next w:val="Normal"/>
    <w:qFormat/>
    <w:rsid w:val="007570AD"/>
    <w:pPr>
      <w:keepNext/>
      <w:pageBreakBefore/>
      <w:numPr>
        <w:numId w:val="2"/>
      </w:numPr>
      <w:spacing w:before="240" w:after="60"/>
      <w:outlineLvl w:val="0"/>
    </w:pPr>
    <w:rPr>
      <w:rFonts w:cs="Arial"/>
      <w:bCs/>
      <w:caps/>
      <w:kern w:val="32"/>
    </w:rPr>
  </w:style>
  <w:style w:type="paragraph" w:styleId="Heading2">
    <w:name w:val="heading 2"/>
    <w:basedOn w:val="Normal"/>
    <w:next w:val="Normal"/>
    <w:qFormat/>
    <w:rsid w:val="00EF7A27"/>
    <w:pPr>
      <w:keepNext/>
      <w:numPr>
        <w:ilvl w:val="1"/>
        <w:numId w:val="2"/>
      </w:numPr>
      <w:spacing w:before="240" w:after="60"/>
      <w:outlineLvl w:val="1"/>
    </w:pPr>
    <w:rPr>
      <w:bCs/>
      <w:iCs/>
    </w:rPr>
  </w:style>
  <w:style w:type="paragraph" w:styleId="Heading3">
    <w:name w:val="heading 3"/>
    <w:basedOn w:val="Normal"/>
    <w:next w:val="Normal"/>
    <w:qFormat/>
    <w:rsid w:val="00EF7A27"/>
    <w:pPr>
      <w:keepNext/>
      <w:numPr>
        <w:ilvl w:val="2"/>
        <w:numId w:val="2"/>
      </w:numPr>
      <w:spacing w:before="240" w:after="60"/>
      <w:outlineLvl w:val="2"/>
    </w:pPr>
    <w:rPr>
      <w:bCs/>
    </w:rPr>
  </w:style>
  <w:style w:type="paragraph" w:styleId="Heading4">
    <w:name w:val="heading 4"/>
    <w:basedOn w:val="Normal"/>
    <w:next w:val="Normal"/>
    <w:qFormat/>
    <w:rsid w:val="00EF7A27"/>
    <w:pPr>
      <w:keepNext/>
      <w:numPr>
        <w:ilvl w:val="3"/>
        <w:numId w:val="2"/>
      </w:numPr>
      <w:spacing w:before="240" w:after="60"/>
      <w:outlineLvl w:val="3"/>
    </w:pPr>
    <w:rPr>
      <w:b/>
      <w:bCs/>
      <w:sz w:val="28"/>
      <w:szCs w:val="28"/>
    </w:rPr>
  </w:style>
  <w:style w:type="paragraph" w:styleId="Heading5">
    <w:name w:val="heading 5"/>
    <w:basedOn w:val="Normal"/>
    <w:next w:val="Normal"/>
    <w:qFormat/>
    <w:rsid w:val="00EF7A27"/>
    <w:pPr>
      <w:numPr>
        <w:ilvl w:val="4"/>
        <w:numId w:val="2"/>
      </w:numPr>
      <w:spacing w:before="240" w:after="60"/>
      <w:outlineLvl w:val="4"/>
    </w:pPr>
    <w:rPr>
      <w:b/>
      <w:bCs/>
      <w:i/>
      <w:iCs/>
      <w:sz w:val="26"/>
      <w:szCs w:val="26"/>
    </w:rPr>
  </w:style>
  <w:style w:type="paragraph" w:styleId="Heading6">
    <w:name w:val="heading 6"/>
    <w:basedOn w:val="Normal"/>
    <w:next w:val="Normal"/>
    <w:qFormat/>
    <w:rsid w:val="00EF7A27"/>
    <w:pPr>
      <w:numPr>
        <w:ilvl w:val="5"/>
        <w:numId w:val="2"/>
      </w:numPr>
      <w:spacing w:before="240" w:after="60"/>
      <w:outlineLvl w:val="5"/>
    </w:pPr>
    <w:rPr>
      <w:b/>
      <w:bCs/>
      <w:sz w:val="22"/>
      <w:szCs w:val="22"/>
    </w:rPr>
  </w:style>
  <w:style w:type="paragraph" w:styleId="Heading7">
    <w:name w:val="heading 7"/>
    <w:basedOn w:val="Normal"/>
    <w:next w:val="Normal"/>
    <w:qFormat/>
    <w:rsid w:val="00EF7A27"/>
    <w:pPr>
      <w:numPr>
        <w:ilvl w:val="6"/>
        <w:numId w:val="2"/>
      </w:numPr>
      <w:spacing w:before="240" w:after="60"/>
      <w:outlineLvl w:val="6"/>
    </w:pPr>
  </w:style>
  <w:style w:type="paragraph" w:styleId="Heading8">
    <w:name w:val="heading 8"/>
    <w:basedOn w:val="Normal"/>
    <w:next w:val="Normal"/>
    <w:qFormat/>
    <w:rsid w:val="00EF7A27"/>
    <w:pPr>
      <w:numPr>
        <w:ilvl w:val="7"/>
        <w:numId w:val="2"/>
      </w:numPr>
      <w:spacing w:before="240" w:after="60"/>
      <w:outlineLvl w:val="7"/>
    </w:pPr>
    <w:rPr>
      <w:i/>
      <w:iCs/>
    </w:rPr>
  </w:style>
  <w:style w:type="paragraph" w:styleId="Heading9">
    <w:name w:val="heading 9"/>
    <w:basedOn w:val="Normal"/>
    <w:next w:val="Normal"/>
    <w:qFormat/>
    <w:rsid w:val="00EF7A27"/>
    <w:pPr>
      <w:numPr>
        <w:ilvl w:val="8"/>
        <w:numId w:val="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7023B"/>
    <w:pPr>
      <w:widowControl w:val="0"/>
      <w:ind w:left="720"/>
    </w:pPr>
    <w:rPr>
      <w:rFonts w:ascii="Calibri" w:hAnsi="Calibri"/>
    </w:rPr>
  </w:style>
  <w:style w:type="paragraph" w:customStyle="1" w:styleId="DOCUMENTTITLE">
    <w:name w:val="DOCUMENT TITLE"/>
    <w:basedOn w:val="Normal"/>
    <w:rsid w:val="00590BE1"/>
    <w:pPr>
      <w:jc w:val="center"/>
    </w:pPr>
    <w:rPr>
      <w:b/>
      <w:bCs/>
      <w:smallCaps/>
    </w:rPr>
  </w:style>
  <w:style w:type="paragraph" w:customStyle="1" w:styleId="Legal2Cont1">
    <w:name w:val="Legal2 Cont 1"/>
    <w:basedOn w:val="Normal"/>
    <w:link w:val="Legal2Cont1Char"/>
    <w:rsid w:val="0077023B"/>
    <w:pPr>
      <w:ind w:left="720"/>
    </w:pPr>
    <w:rPr>
      <w:rFonts w:ascii="Calibri" w:hAnsi="Calibri"/>
    </w:rPr>
  </w:style>
  <w:style w:type="paragraph" w:customStyle="1" w:styleId="Legal2L3">
    <w:name w:val="Legal2_L3"/>
    <w:basedOn w:val="Legal2L2"/>
    <w:next w:val="Normal"/>
    <w:rsid w:val="0077023B"/>
    <w:pPr>
      <w:keepNext w:val="0"/>
      <w:numPr>
        <w:ilvl w:val="2"/>
      </w:numPr>
      <w:tabs>
        <w:tab w:val="num" w:pos="2520"/>
      </w:tabs>
      <w:ind w:hanging="1080"/>
      <w:jc w:val="left"/>
      <w:outlineLvl w:val="2"/>
    </w:pPr>
    <w:rPr>
      <w:b w:val="0"/>
      <w:szCs w:val="24"/>
    </w:rPr>
  </w:style>
  <w:style w:type="paragraph" w:customStyle="1" w:styleId="Legal2L2">
    <w:name w:val="Legal2_L2"/>
    <w:basedOn w:val="Legal2L1"/>
    <w:next w:val="Normal"/>
    <w:link w:val="Legal2L2Char"/>
    <w:rsid w:val="00174DA0"/>
    <w:pPr>
      <w:keepNext/>
      <w:pageBreakBefore w:val="0"/>
      <w:numPr>
        <w:ilvl w:val="1"/>
      </w:numPr>
      <w:outlineLvl w:val="1"/>
    </w:pPr>
    <w:rPr>
      <w:sz w:val="24"/>
    </w:rPr>
  </w:style>
  <w:style w:type="paragraph" w:customStyle="1" w:styleId="Legal2L1">
    <w:name w:val="Legal2_L1"/>
    <w:basedOn w:val="Normal"/>
    <w:next w:val="Normal"/>
    <w:link w:val="Legal2L1Char"/>
    <w:rsid w:val="00174DA0"/>
    <w:pPr>
      <w:pageBreakBefore/>
      <w:numPr>
        <w:numId w:val="3"/>
      </w:numPr>
      <w:jc w:val="both"/>
      <w:outlineLvl w:val="0"/>
    </w:pPr>
    <w:rPr>
      <w:rFonts w:ascii="Calibri" w:hAnsi="Calibri"/>
      <w:b/>
      <w:sz w:val="28"/>
      <w:szCs w:val="28"/>
    </w:rPr>
  </w:style>
  <w:style w:type="paragraph" w:customStyle="1" w:styleId="Legal2L4">
    <w:name w:val="Legal2_L4"/>
    <w:basedOn w:val="Legal2L3"/>
    <w:next w:val="Normal"/>
    <w:rsid w:val="00BE2346"/>
    <w:pPr>
      <w:numPr>
        <w:ilvl w:val="3"/>
      </w:numPr>
      <w:tabs>
        <w:tab w:val="clear" w:pos="2880"/>
        <w:tab w:val="num" w:pos="2520"/>
        <w:tab w:val="num" w:pos="3150"/>
      </w:tabs>
      <w:ind w:left="3150" w:hanging="630"/>
      <w:outlineLvl w:val="3"/>
    </w:pPr>
  </w:style>
  <w:style w:type="paragraph" w:customStyle="1" w:styleId="Legal2L5">
    <w:name w:val="Legal2_L5"/>
    <w:basedOn w:val="Legal2L4"/>
    <w:next w:val="Normal"/>
    <w:rsid w:val="00625253"/>
    <w:pPr>
      <w:outlineLvl w:val="4"/>
    </w:pPr>
  </w:style>
  <w:style w:type="paragraph" w:customStyle="1" w:styleId="Legal2L6">
    <w:name w:val="Legal2_L6"/>
    <w:basedOn w:val="Legal2L5"/>
    <w:next w:val="Normal"/>
    <w:rsid w:val="00625253"/>
    <w:pPr>
      <w:numPr>
        <w:ilvl w:val="4"/>
      </w:numPr>
      <w:tabs>
        <w:tab w:val="num" w:pos="3150"/>
      </w:tabs>
      <w:outlineLvl w:val="5"/>
    </w:pPr>
  </w:style>
  <w:style w:type="paragraph" w:customStyle="1" w:styleId="Legal2L7">
    <w:name w:val="Legal2_L7"/>
    <w:basedOn w:val="Legal2L6"/>
    <w:next w:val="Normal"/>
    <w:rsid w:val="00625253"/>
    <w:pPr>
      <w:numPr>
        <w:ilvl w:val="5"/>
      </w:numPr>
      <w:tabs>
        <w:tab w:val="num" w:pos="3600"/>
      </w:tabs>
      <w:outlineLvl w:val="6"/>
    </w:pPr>
  </w:style>
  <w:style w:type="paragraph" w:customStyle="1" w:styleId="Legal2L8">
    <w:name w:val="Legal2_L8"/>
    <w:basedOn w:val="Legal2L7"/>
    <w:next w:val="Normal"/>
    <w:rsid w:val="00625253"/>
    <w:pPr>
      <w:numPr>
        <w:ilvl w:val="6"/>
      </w:numPr>
      <w:tabs>
        <w:tab w:val="num" w:pos="4320"/>
      </w:tabs>
      <w:outlineLvl w:val="7"/>
    </w:pPr>
  </w:style>
  <w:style w:type="paragraph" w:customStyle="1" w:styleId="Legal2L9">
    <w:name w:val="Legal2_L9"/>
    <w:basedOn w:val="Legal2L8"/>
    <w:next w:val="Normal"/>
    <w:rsid w:val="00583219"/>
    <w:pPr>
      <w:numPr>
        <w:ilvl w:val="7"/>
      </w:numPr>
      <w:ind w:left="1440" w:hanging="720"/>
      <w:outlineLvl w:val="8"/>
    </w:pPr>
  </w:style>
  <w:style w:type="table" w:styleId="TableGrid">
    <w:name w:val="Table Grid"/>
    <w:basedOn w:val="TableNormal"/>
    <w:rsid w:val="00193E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sponsibilitiesHeader">
    <w:name w:val="Responsibilities Header"/>
    <w:basedOn w:val="Normal"/>
    <w:rsid w:val="008A2DB2"/>
    <w:rPr>
      <w:rFonts w:ascii="Times New Roman Bold" w:hAnsi="Times New Roman Bold"/>
      <w:b/>
      <w:i/>
      <w:u w:val="single"/>
    </w:rPr>
  </w:style>
  <w:style w:type="paragraph" w:customStyle="1" w:styleId="Heading1Numbered">
    <w:name w:val="Heading 1 Numbered"/>
    <w:basedOn w:val="Normal"/>
    <w:next w:val="TableText"/>
    <w:rsid w:val="009B3B0D"/>
    <w:pPr>
      <w:keepNext/>
      <w:keepLines/>
      <w:numPr>
        <w:numId w:val="4"/>
      </w:numPr>
      <w:spacing w:before="240"/>
    </w:pPr>
    <w:rPr>
      <w:rFonts w:ascii="Times New Roman Bold" w:hAnsi="Times New Roman Bold"/>
      <w:b/>
      <w:caps/>
      <w:sz w:val="28"/>
    </w:rPr>
  </w:style>
  <w:style w:type="paragraph" w:customStyle="1" w:styleId="TableBullet">
    <w:name w:val="Table Bullet"/>
    <w:basedOn w:val="Normal"/>
    <w:rsid w:val="00590BE1"/>
    <w:pPr>
      <w:numPr>
        <w:numId w:val="1"/>
      </w:numPr>
    </w:pPr>
    <w:rPr>
      <w:rFonts w:eastAsia="Batang"/>
      <w:lang w:eastAsia="ko-KR"/>
    </w:rPr>
  </w:style>
  <w:style w:type="character" w:styleId="Hyperlink">
    <w:name w:val="Hyperlink"/>
    <w:basedOn w:val="DefaultParagraphFont"/>
    <w:rsid w:val="00590BE1"/>
    <w:rPr>
      <w:color w:val="0000FF"/>
      <w:u w:val="single"/>
    </w:rPr>
  </w:style>
  <w:style w:type="paragraph" w:customStyle="1" w:styleId="Heading2Numbered">
    <w:name w:val="Heading 2 Numbered"/>
    <w:basedOn w:val="Normal"/>
    <w:next w:val="TableText"/>
    <w:rsid w:val="009B3B0D"/>
    <w:pPr>
      <w:keepNext/>
      <w:keepLines/>
      <w:numPr>
        <w:ilvl w:val="1"/>
        <w:numId w:val="4"/>
      </w:numPr>
      <w:spacing w:before="240"/>
    </w:pPr>
    <w:rPr>
      <w:rFonts w:ascii="Times New Roman Bold" w:hAnsi="Times New Roman Bold"/>
      <w:b/>
      <w:sz w:val="28"/>
    </w:rPr>
  </w:style>
  <w:style w:type="paragraph" w:customStyle="1" w:styleId="TableHeadingColumn">
    <w:name w:val="Table Heading Column"/>
    <w:aliases w:val="thc"/>
    <w:rsid w:val="00590BE1"/>
    <w:pPr>
      <w:spacing w:before="120" w:after="120"/>
      <w:jc w:val="center"/>
    </w:pPr>
    <w:rPr>
      <w:rFonts w:ascii="Arial Narrow" w:eastAsia="Times New Roman" w:hAnsi="Arial Narrow"/>
      <w:b/>
      <w:color w:val="000000"/>
      <w:spacing w:val="20"/>
      <w:sz w:val="22"/>
    </w:rPr>
  </w:style>
  <w:style w:type="paragraph" w:customStyle="1" w:styleId="TableText">
    <w:name w:val="Table Text"/>
    <w:aliases w:val="tt,table Body Text,table text"/>
    <w:link w:val="TableTextChar"/>
    <w:rsid w:val="00590BE1"/>
    <w:pPr>
      <w:spacing w:before="60" w:after="60"/>
    </w:pPr>
    <w:rPr>
      <w:rFonts w:ascii="Arial Narrow" w:eastAsia="Times New Roman" w:hAnsi="Arial Narrow"/>
      <w:color w:val="000000"/>
    </w:rPr>
  </w:style>
  <w:style w:type="paragraph" w:styleId="TOC1">
    <w:name w:val="toc 1"/>
    <w:basedOn w:val="Normal"/>
    <w:next w:val="Normal"/>
    <w:autoRedefine/>
    <w:uiPriority w:val="39"/>
    <w:rsid w:val="008230A9"/>
    <w:pPr>
      <w:tabs>
        <w:tab w:val="left" w:pos="480"/>
        <w:tab w:val="right" w:leader="dot" w:pos="9350"/>
      </w:tabs>
    </w:pPr>
    <w:rPr>
      <w:rFonts w:cs="Arial"/>
      <w:noProof/>
      <w:szCs w:val="18"/>
    </w:rPr>
  </w:style>
  <w:style w:type="paragraph" w:styleId="TOC2">
    <w:name w:val="toc 2"/>
    <w:basedOn w:val="Normal"/>
    <w:next w:val="Normal"/>
    <w:autoRedefine/>
    <w:uiPriority w:val="39"/>
    <w:rsid w:val="008230A9"/>
    <w:pPr>
      <w:tabs>
        <w:tab w:val="left" w:pos="1260"/>
        <w:tab w:val="right" w:leader="dot" w:pos="9350"/>
      </w:tabs>
      <w:ind w:left="630"/>
    </w:pPr>
    <w:rPr>
      <w:rFonts w:cs="Arial"/>
      <w:noProof/>
      <w:szCs w:val="18"/>
    </w:rPr>
  </w:style>
  <w:style w:type="paragraph" w:styleId="TOC3">
    <w:name w:val="toc 3"/>
    <w:basedOn w:val="Normal"/>
    <w:next w:val="Normal"/>
    <w:autoRedefine/>
    <w:semiHidden/>
    <w:rsid w:val="00C132E9"/>
    <w:pPr>
      <w:ind w:left="480"/>
    </w:pPr>
    <w:rPr>
      <w:rFonts w:ascii="Calibri" w:hAnsi="Calibri"/>
    </w:rPr>
  </w:style>
  <w:style w:type="paragraph" w:styleId="Header">
    <w:name w:val="header"/>
    <w:aliases w:val="h,ht,hd,foote,header"/>
    <w:basedOn w:val="Normal"/>
    <w:link w:val="HeaderChar"/>
    <w:rsid w:val="00693361"/>
    <w:pPr>
      <w:tabs>
        <w:tab w:val="center" w:pos="4680"/>
        <w:tab w:val="right" w:pos="9360"/>
      </w:tabs>
    </w:pPr>
  </w:style>
  <w:style w:type="paragraph" w:styleId="Footer">
    <w:name w:val="footer"/>
    <w:aliases w:val="f,xf"/>
    <w:basedOn w:val="Normal"/>
    <w:link w:val="FooterChar"/>
    <w:rsid w:val="002243DE"/>
    <w:pPr>
      <w:tabs>
        <w:tab w:val="center" w:pos="4680"/>
        <w:tab w:val="right" w:pos="9360"/>
      </w:tabs>
    </w:pPr>
    <w:rPr>
      <w:sz w:val="20"/>
    </w:rPr>
  </w:style>
  <w:style w:type="character" w:styleId="PageNumber">
    <w:name w:val="page number"/>
    <w:basedOn w:val="DefaultParagraphFont"/>
    <w:rsid w:val="00977195"/>
  </w:style>
  <w:style w:type="character" w:customStyle="1" w:styleId="Legal2L1Char">
    <w:name w:val="Legal2_L1 Char"/>
    <w:basedOn w:val="DefaultParagraphFont"/>
    <w:link w:val="Legal2L1"/>
    <w:rsid w:val="00174DA0"/>
    <w:rPr>
      <w:rFonts w:ascii="Calibri" w:eastAsia="Times New Roman" w:hAnsi="Calibri"/>
      <w:b/>
      <w:sz w:val="28"/>
      <w:szCs w:val="28"/>
      <w:lang w:val="en-GB"/>
    </w:rPr>
  </w:style>
  <w:style w:type="character" w:customStyle="1" w:styleId="Legal2L2Char">
    <w:name w:val="Legal2_L2 Char"/>
    <w:basedOn w:val="Legal2L1Char"/>
    <w:link w:val="Legal2L2"/>
    <w:rsid w:val="00174DA0"/>
    <w:rPr>
      <w:rFonts w:ascii="Calibri" w:eastAsia="Times New Roman" w:hAnsi="Calibri"/>
      <w:b/>
      <w:sz w:val="24"/>
      <w:szCs w:val="28"/>
      <w:lang w:val="en-GB"/>
    </w:rPr>
  </w:style>
  <w:style w:type="paragraph" w:styleId="BalloonText">
    <w:name w:val="Balloon Text"/>
    <w:basedOn w:val="Normal"/>
    <w:semiHidden/>
    <w:rsid w:val="00B97A77"/>
    <w:rPr>
      <w:rFonts w:ascii="Tahoma" w:hAnsi="Tahoma" w:cs="Tahoma"/>
      <w:sz w:val="16"/>
      <w:szCs w:val="16"/>
    </w:rPr>
  </w:style>
  <w:style w:type="character" w:styleId="CommentReference">
    <w:name w:val="annotation reference"/>
    <w:basedOn w:val="DefaultParagraphFont"/>
    <w:semiHidden/>
    <w:rsid w:val="006C3AA4"/>
    <w:rPr>
      <w:sz w:val="16"/>
      <w:szCs w:val="16"/>
    </w:rPr>
  </w:style>
  <w:style w:type="paragraph" w:styleId="CommentText">
    <w:name w:val="annotation text"/>
    <w:basedOn w:val="Normal"/>
    <w:semiHidden/>
    <w:rsid w:val="006C3AA4"/>
    <w:rPr>
      <w:sz w:val="20"/>
    </w:rPr>
  </w:style>
  <w:style w:type="paragraph" w:styleId="CommentSubject">
    <w:name w:val="annotation subject"/>
    <w:basedOn w:val="CommentText"/>
    <w:next w:val="CommentText"/>
    <w:semiHidden/>
    <w:rsid w:val="006C3AA4"/>
    <w:rPr>
      <w:b/>
      <w:bCs/>
    </w:rPr>
  </w:style>
  <w:style w:type="paragraph" w:customStyle="1" w:styleId="Heading3Numbered">
    <w:name w:val="Heading 3 Numbered"/>
    <w:basedOn w:val="Heading2Numbered"/>
    <w:next w:val="TableText"/>
    <w:rsid w:val="009B3B0D"/>
    <w:pPr>
      <w:numPr>
        <w:ilvl w:val="2"/>
      </w:numPr>
    </w:pPr>
  </w:style>
  <w:style w:type="paragraph" w:customStyle="1" w:styleId="Heading4Numbered">
    <w:name w:val="Heading 4 Numbered"/>
    <w:basedOn w:val="Normal"/>
    <w:next w:val="TableText"/>
    <w:rsid w:val="009B3B0D"/>
    <w:pPr>
      <w:keepNext/>
      <w:keepLines/>
      <w:numPr>
        <w:ilvl w:val="3"/>
        <w:numId w:val="4"/>
      </w:numPr>
      <w:spacing w:before="240"/>
    </w:pPr>
    <w:rPr>
      <w:rFonts w:ascii="Times New Roman Bold" w:hAnsi="Times New Roman Bold"/>
      <w:b/>
    </w:rPr>
  </w:style>
  <w:style w:type="paragraph" w:styleId="Title">
    <w:name w:val="Title"/>
    <w:basedOn w:val="Normal"/>
    <w:next w:val="Normal"/>
    <w:qFormat/>
    <w:rsid w:val="009B3B0D"/>
    <w:pPr>
      <w:spacing w:before="240"/>
      <w:jc w:val="center"/>
      <w:outlineLvl w:val="0"/>
    </w:pPr>
    <w:rPr>
      <w:rFonts w:cs="Arial"/>
      <w:b/>
      <w:bCs/>
      <w:caps/>
      <w:kern w:val="28"/>
      <w:sz w:val="32"/>
      <w:szCs w:val="32"/>
    </w:rPr>
  </w:style>
  <w:style w:type="paragraph" w:customStyle="1" w:styleId="Heading5Numbered">
    <w:name w:val="Heading 5 Numbered"/>
    <w:basedOn w:val="Normal"/>
    <w:rsid w:val="009B3B0D"/>
    <w:pPr>
      <w:numPr>
        <w:ilvl w:val="4"/>
        <w:numId w:val="4"/>
      </w:numPr>
      <w:spacing w:after="120"/>
    </w:pPr>
    <w:rPr>
      <w:b/>
      <w:sz w:val="22"/>
    </w:rPr>
  </w:style>
  <w:style w:type="character" w:customStyle="1" w:styleId="Legal2Cont1Char">
    <w:name w:val="Legal2 Cont 1 Char"/>
    <w:basedOn w:val="DefaultParagraphFont"/>
    <w:link w:val="Legal2Cont1"/>
    <w:rsid w:val="0077023B"/>
    <w:rPr>
      <w:rFonts w:ascii="Calibri" w:eastAsia="Times New Roman" w:hAnsi="Calibri"/>
      <w:sz w:val="24"/>
    </w:rPr>
  </w:style>
  <w:style w:type="character" w:customStyle="1" w:styleId="TableTextChar">
    <w:name w:val="Table Text Char"/>
    <w:aliases w:val="tt Char,table Body Text Char,table text Char"/>
    <w:basedOn w:val="DefaultParagraphFont"/>
    <w:link w:val="TableText"/>
    <w:rsid w:val="005D3417"/>
    <w:rPr>
      <w:rFonts w:ascii="Arial Narrow" w:eastAsia="Times New Roman" w:hAnsi="Arial Narrow"/>
      <w:color w:val="000000"/>
      <w:lang w:val="en-US" w:eastAsia="en-US" w:bidi="ar-SA"/>
    </w:rPr>
  </w:style>
  <w:style w:type="paragraph" w:customStyle="1" w:styleId="Copyright">
    <w:name w:val="Copyright"/>
    <w:basedOn w:val="Normal"/>
    <w:rsid w:val="00345ACD"/>
    <w:pPr>
      <w:spacing w:before="20" w:after="20"/>
      <w:jc w:val="center"/>
    </w:pPr>
    <w:rPr>
      <w:rFonts w:ascii="Verdana" w:hAnsi="Verdana"/>
      <w:color w:val="000000"/>
      <w:sz w:val="14"/>
      <w:szCs w:val="16"/>
    </w:rPr>
  </w:style>
  <w:style w:type="paragraph" w:customStyle="1" w:styleId="Heading00">
    <w:name w:val="Heading 00"/>
    <w:rsid w:val="00345ACD"/>
    <w:pPr>
      <w:spacing w:before="180" w:after="180"/>
      <w:ind w:left="567" w:right="-2" w:hanging="567"/>
    </w:pPr>
    <w:rPr>
      <w:rFonts w:eastAsia="Times New Roman"/>
      <w:b/>
      <w:caps/>
      <w:noProof/>
      <w:color w:val="000000"/>
      <w:sz w:val="22"/>
    </w:rPr>
  </w:style>
  <w:style w:type="character" w:customStyle="1" w:styleId="FooterChar">
    <w:name w:val="Footer Char"/>
    <w:aliases w:val="f Char,xf Char"/>
    <w:basedOn w:val="DefaultParagraphFont"/>
    <w:link w:val="Footer"/>
    <w:locked/>
    <w:rsid w:val="002243DE"/>
    <w:rPr>
      <w:szCs w:val="24"/>
      <w:lang w:val="en-US" w:eastAsia="en-US" w:bidi="ar-SA"/>
    </w:rPr>
  </w:style>
  <w:style w:type="character" w:customStyle="1" w:styleId="HeaderChar">
    <w:name w:val="Header Char"/>
    <w:aliases w:val="h Char,ht Char,hd Char,foote Char,header Char"/>
    <w:basedOn w:val="DefaultParagraphFont"/>
    <w:link w:val="Header"/>
    <w:locked/>
    <w:rsid w:val="00345ACD"/>
    <w:rPr>
      <w:sz w:val="24"/>
      <w:szCs w:val="24"/>
      <w:lang w:val="en-US" w:eastAsia="en-US" w:bidi="ar-SA"/>
    </w:rPr>
  </w:style>
  <w:style w:type="paragraph" w:customStyle="1" w:styleId="LISTBULLET105">
    <w:name w:val="LIST_BULLET1_0.5&quot;"/>
    <w:basedOn w:val="Normal"/>
    <w:rsid w:val="00691717"/>
    <w:pPr>
      <w:numPr>
        <w:numId w:val="5"/>
      </w:numPr>
    </w:pPr>
    <w:rPr>
      <w:rFonts w:cs="Arial"/>
      <w:sz w:val="20"/>
    </w:rPr>
  </w:style>
  <w:style w:type="paragraph" w:styleId="TOC4">
    <w:name w:val="toc 4"/>
    <w:basedOn w:val="Normal"/>
    <w:next w:val="Normal"/>
    <w:autoRedefine/>
    <w:rsid w:val="00C132E9"/>
    <w:pPr>
      <w:ind w:left="720"/>
    </w:pPr>
    <w:rPr>
      <w:rFonts w:ascii="Calibri" w:hAnsi="Calibri"/>
    </w:rPr>
  </w:style>
  <w:style w:type="paragraph" w:customStyle="1" w:styleId="Body">
    <w:name w:val="_Body"/>
    <w:basedOn w:val="Normal"/>
    <w:qFormat/>
    <w:rsid w:val="008230A9"/>
  </w:style>
  <w:style w:type="paragraph" w:customStyle="1" w:styleId="bulletedlist">
    <w:name w:val="_bulleted_list"/>
    <w:basedOn w:val="Normal"/>
    <w:rsid w:val="008230A9"/>
    <w:pPr>
      <w:numPr>
        <w:numId w:val="6"/>
      </w:numPr>
    </w:pPr>
    <w:rPr>
      <w:rFonts w:eastAsia="Arial Unicode MS"/>
      <w:color w:val="000000"/>
    </w:rPr>
  </w:style>
  <w:style w:type="paragraph" w:customStyle="1" w:styleId="bulletedsublist">
    <w:name w:val="_bulleted_sublist"/>
    <w:basedOn w:val="bulletedlist"/>
    <w:qFormat/>
    <w:rsid w:val="008230A9"/>
    <w:pPr>
      <w:numPr>
        <w:numId w:val="7"/>
      </w:numPr>
    </w:pPr>
  </w:style>
  <w:style w:type="character" w:customStyle="1" w:styleId="cross-ref">
    <w:name w:val="_cross-ref"/>
    <w:basedOn w:val="DefaultParagraphFont"/>
    <w:uiPriority w:val="1"/>
    <w:qFormat/>
    <w:rsid w:val="008230A9"/>
    <w:rPr>
      <w:rFonts w:ascii="Arial" w:eastAsia="Batang" w:hAnsi="Arial" w:cs="Arial"/>
      <w:bCs/>
      <w:iCs/>
      <w:color w:val="000000"/>
      <w:sz w:val="18"/>
      <w:szCs w:val="18"/>
      <w:u w:val="single"/>
    </w:rPr>
  </w:style>
  <w:style w:type="paragraph" w:customStyle="1" w:styleId="H1">
    <w:name w:val="_H1"/>
    <w:qFormat/>
    <w:rsid w:val="008230A9"/>
    <w:pPr>
      <w:numPr>
        <w:numId w:val="8"/>
      </w:numPr>
      <w:spacing w:before="240" w:after="240" w:line="280" w:lineRule="exact"/>
      <w:outlineLvl w:val="0"/>
    </w:pPr>
    <w:rPr>
      <w:rFonts w:ascii="Arial" w:eastAsia="Times New Roman" w:hAnsi="Arial"/>
      <w:b/>
      <w:sz w:val="24"/>
      <w:szCs w:val="22"/>
    </w:rPr>
  </w:style>
  <w:style w:type="paragraph" w:customStyle="1" w:styleId="H2">
    <w:name w:val="_H2"/>
    <w:basedOn w:val="H1"/>
    <w:qFormat/>
    <w:rsid w:val="008230A9"/>
    <w:pPr>
      <w:numPr>
        <w:ilvl w:val="1"/>
      </w:numPr>
      <w:outlineLvl w:val="1"/>
    </w:pPr>
    <w:rPr>
      <w:sz w:val="22"/>
      <w:szCs w:val="20"/>
    </w:rPr>
  </w:style>
  <w:style w:type="paragraph" w:customStyle="1" w:styleId="H3">
    <w:name w:val="_H3"/>
    <w:basedOn w:val="H2"/>
    <w:qFormat/>
    <w:rsid w:val="00A118CF"/>
    <w:pPr>
      <w:numPr>
        <w:ilvl w:val="2"/>
      </w:numPr>
      <w:ind w:left="4338"/>
      <w:outlineLvl w:val="2"/>
    </w:pPr>
    <w:rPr>
      <w:sz w:val="20"/>
      <w:szCs w:val="18"/>
    </w:rPr>
  </w:style>
  <w:style w:type="paragraph" w:customStyle="1" w:styleId="H4">
    <w:name w:val="_H4"/>
    <w:basedOn w:val="H3"/>
    <w:qFormat/>
    <w:rsid w:val="008230A9"/>
    <w:pPr>
      <w:keepNext/>
      <w:keepLines/>
      <w:numPr>
        <w:ilvl w:val="3"/>
      </w:numPr>
      <w:outlineLvl w:val="3"/>
    </w:pPr>
    <w:rPr>
      <w:rFonts w:ascii="Arial Bold" w:hAnsi="Arial Bold"/>
      <w:spacing w:val="14"/>
      <w:sz w:val="16"/>
    </w:rPr>
  </w:style>
  <w:style w:type="paragraph" w:customStyle="1" w:styleId="H5">
    <w:name w:val="_H5"/>
    <w:basedOn w:val="H4"/>
    <w:qFormat/>
    <w:rsid w:val="008230A9"/>
    <w:pPr>
      <w:numPr>
        <w:ilvl w:val="4"/>
      </w:numPr>
    </w:pPr>
    <w:rPr>
      <w:rFonts w:ascii="Arial" w:hAnsi="Arial"/>
      <w:color w:val="808080" w:themeColor="background1" w:themeShade="80"/>
    </w:rPr>
  </w:style>
  <w:style w:type="paragraph" w:customStyle="1" w:styleId="Listcontractitems1decimal">
    <w:name w:val="_List_contract_items_1_decimal"/>
    <w:qFormat/>
    <w:rsid w:val="008230A9"/>
    <w:pPr>
      <w:numPr>
        <w:numId w:val="9"/>
      </w:numPr>
      <w:tabs>
        <w:tab w:val="left" w:pos="450"/>
      </w:tabs>
      <w:spacing w:before="120" w:after="120" w:line="280" w:lineRule="exact"/>
      <w:outlineLvl w:val="0"/>
    </w:pPr>
    <w:rPr>
      <w:rFonts w:ascii="Arial" w:eastAsia="Times New Roman" w:hAnsi="Arial"/>
      <w:b/>
      <w:i/>
      <w:sz w:val="22"/>
      <w:szCs w:val="22"/>
      <w:u w:val="single"/>
    </w:rPr>
  </w:style>
  <w:style w:type="paragraph" w:customStyle="1" w:styleId="Listcontractitems2decimal">
    <w:name w:val="_List_contract_items_2_decimal"/>
    <w:basedOn w:val="Listcontractitems1decimal"/>
    <w:rsid w:val="008230A9"/>
    <w:pPr>
      <w:numPr>
        <w:ilvl w:val="1"/>
      </w:numPr>
      <w:tabs>
        <w:tab w:val="clear" w:pos="450"/>
      </w:tabs>
      <w:outlineLvl w:val="1"/>
    </w:pPr>
    <w:rPr>
      <w:bCs/>
      <w:sz w:val="18"/>
    </w:rPr>
  </w:style>
  <w:style w:type="paragraph" w:customStyle="1" w:styleId="Listcontractitems3">
    <w:name w:val="_List_contract_items_3"/>
    <w:basedOn w:val="Listcontractitems2decimal"/>
    <w:qFormat/>
    <w:rsid w:val="008230A9"/>
    <w:pPr>
      <w:numPr>
        <w:ilvl w:val="0"/>
        <w:numId w:val="10"/>
      </w:numPr>
      <w:outlineLvl w:val="2"/>
    </w:pPr>
    <w:rPr>
      <w:u w:val="none"/>
    </w:rPr>
  </w:style>
  <w:style w:type="paragraph" w:customStyle="1" w:styleId="Listcontractitems4">
    <w:name w:val="_List_contract_items_4"/>
    <w:basedOn w:val="Listcontractitems3"/>
    <w:qFormat/>
    <w:rsid w:val="008230A9"/>
    <w:pPr>
      <w:numPr>
        <w:numId w:val="11"/>
      </w:numPr>
      <w:tabs>
        <w:tab w:val="left" w:pos="2160"/>
      </w:tabs>
      <w:outlineLvl w:val="3"/>
    </w:pPr>
    <w:rPr>
      <w:b w:val="0"/>
      <w:i w:val="0"/>
    </w:rPr>
  </w:style>
  <w:style w:type="paragraph" w:customStyle="1" w:styleId="Tablebody">
    <w:name w:val="_Table_body"/>
    <w:qFormat/>
    <w:rsid w:val="008230A9"/>
    <w:pPr>
      <w:spacing w:before="120" w:after="120" w:line="280" w:lineRule="exact"/>
    </w:pPr>
    <w:rPr>
      <w:rFonts w:ascii="Arial" w:eastAsia="Times New Roman" w:hAnsi="Arial"/>
      <w:color w:val="000000"/>
      <w:sz w:val="18"/>
    </w:rPr>
  </w:style>
  <w:style w:type="paragraph" w:customStyle="1" w:styleId="Tablebullets">
    <w:name w:val="_Table_bullets"/>
    <w:basedOn w:val="Normal"/>
    <w:qFormat/>
    <w:rsid w:val="008230A9"/>
    <w:pPr>
      <w:numPr>
        <w:numId w:val="12"/>
      </w:numPr>
      <w:contextualSpacing/>
    </w:pPr>
    <w:rPr>
      <w:snapToGrid w:val="0"/>
      <w:color w:val="000000"/>
    </w:rPr>
  </w:style>
  <w:style w:type="paragraph" w:customStyle="1" w:styleId="tableheader">
    <w:name w:val="_table_header"/>
    <w:qFormat/>
    <w:rsid w:val="008230A9"/>
    <w:pPr>
      <w:keepNext/>
      <w:keepLines/>
      <w:spacing w:before="120" w:after="240" w:line="280" w:lineRule="exact"/>
    </w:pPr>
    <w:rPr>
      <w:rFonts w:ascii="Arial" w:eastAsia="Times New Roman" w:hAnsi="Arial"/>
      <w:b/>
      <w:color w:val="FFFFFF"/>
      <w:spacing w:val="20"/>
    </w:rPr>
  </w:style>
  <w:style w:type="paragraph" w:customStyle="1" w:styleId="Tablesubheader">
    <w:name w:val="_Table_subheader"/>
    <w:qFormat/>
    <w:rsid w:val="008230A9"/>
    <w:pPr>
      <w:spacing w:before="120" w:after="60" w:line="280" w:lineRule="exact"/>
    </w:pPr>
    <w:rPr>
      <w:rFonts w:ascii="Arial" w:eastAsia="Times New Roman" w:hAnsi="Arial"/>
      <w:b/>
      <w:color w:val="000000"/>
      <w:sz w:val="18"/>
    </w:rPr>
  </w:style>
  <w:style w:type="paragraph" w:customStyle="1" w:styleId="Titlepgmaincontent">
    <w:name w:val="_Titlepg_main_content"/>
    <w:basedOn w:val="Normal"/>
    <w:qFormat/>
    <w:rsid w:val="008230A9"/>
    <w:pPr>
      <w:jc w:val="center"/>
    </w:pPr>
    <w:rPr>
      <w:b/>
    </w:rPr>
  </w:style>
  <w:style w:type="paragraph" w:customStyle="1" w:styleId="Titlepgminorcontent">
    <w:name w:val="_Titlepg_minor_content"/>
    <w:basedOn w:val="Normal"/>
    <w:qFormat/>
    <w:rsid w:val="008230A9"/>
    <w:pPr>
      <w:jc w:val="center"/>
    </w:pPr>
    <w:rPr>
      <w:sz w:val="20"/>
    </w:rPr>
  </w:style>
  <w:style w:type="paragraph" w:customStyle="1" w:styleId="TOCtitle">
    <w:name w:val="_TOC_title"/>
    <w:qFormat/>
    <w:rsid w:val="008230A9"/>
    <w:pPr>
      <w:spacing w:before="240" w:after="240" w:line="280" w:lineRule="exact"/>
      <w:ind w:left="562" w:hanging="562"/>
      <w:jc w:val="center"/>
    </w:pPr>
    <w:rPr>
      <w:rFonts w:ascii="Arial" w:eastAsia="Times New Roman" w:hAnsi="Arial"/>
      <w:b/>
      <w:caps/>
      <w:noProof/>
      <w:color w:val="000000"/>
      <w:sz w:val="24"/>
    </w:rPr>
  </w:style>
  <w:style w:type="paragraph" w:customStyle="1" w:styleId="LegaleseAlpha">
    <w:name w:val="Legalese Alpha"/>
    <w:basedOn w:val="Normal"/>
    <w:rsid w:val="00842D3A"/>
    <w:pPr>
      <w:numPr>
        <w:numId w:val="13"/>
      </w:numPr>
      <w:spacing w:after="120" w:line="240" w:lineRule="auto"/>
    </w:pPr>
    <w:rPr>
      <w:sz w:val="20"/>
      <w:lang w:val="en-US"/>
    </w:rPr>
  </w:style>
  <w:style w:type="paragraph" w:customStyle="1" w:styleId="LIST1ALPHA25">
    <w:name w:val="LIST1_ALPHA_.25&quot;"/>
    <w:basedOn w:val="Normal"/>
    <w:rsid w:val="00842D3A"/>
    <w:pPr>
      <w:numPr>
        <w:numId w:val="14"/>
      </w:numPr>
      <w:tabs>
        <w:tab w:val="right" w:pos="9360"/>
      </w:tabs>
      <w:spacing w:line="240" w:lineRule="auto"/>
    </w:pPr>
    <w:rPr>
      <w:sz w:val="20"/>
      <w:szCs w:val="24"/>
      <w:lang w:val="en-US"/>
    </w:rPr>
  </w:style>
  <w:style w:type="paragraph" w:customStyle="1" w:styleId="List2arabic05">
    <w:name w:val="List2_arabic_0.5&quot;"/>
    <w:basedOn w:val="Normal"/>
    <w:rsid w:val="00842D3A"/>
    <w:pPr>
      <w:numPr>
        <w:ilvl w:val="1"/>
        <w:numId w:val="14"/>
      </w:numPr>
      <w:spacing w:line="240" w:lineRule="auto"/>
    </w:pPr>
    <w:rPr>
      <w:sz w:val="20"/>
      <w:szCs w:val="24"/>
      <w:lang w:val="en-US"/>
    </w:rPr>
  </w:style>
  <w:style w:type="character" w:customStyle="1" w:styleId="Bold">
    <w:name w:val="Bold"/>
    <w:basedOn w:val="DefaultParagraphFont"/>
    <w:rsid w:val="00842D3A"/>
    <w:rPr>
      <w:b/>
    </w:rPr>
  </w:style>
  <w:style w:type="paragraph" w:customStyle="1" w:styleId="Topper">
    <w:name w:val="Topper"/>
    <w:basedOn w:val="Normal"/>
    <w:rsid w:val="00842D3A"/>
    <w:pPr>
      <w:spacing w:before="0" w:after="0" w:line="240" w:lineRule="auto"/>
      <w:jc w:val="center"/>
    </w:pPr>
    <w:rPr>
      <w:rFonts w:ascii="Arial Black" w:hAnsi="Arial Black"/>
      <w:spacing w:val="-10"/>
      <w:sz w:val="25"/>
      <w:szCs w:val="28"/>
      <w:lang w:val="en-US"/>
    </w:rPr>
  </w:style>
  <w:style w:type="paragraph" w:styleId="Revision">
    <w:name w:val="Revision"/>
    <w:hidden/>
    <w:uiPriority w:val="99"/>
    <w:semiHidden/>
    <w:rsid w:val="00A118CF"/>
    <w:rPr>
      <w:rFonts w:ascii="Arial" w:eastAsia="Times New Roman" w:hAnsi="Arial"/>
      <w:sz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0982571">
      <w:bodyDiv w:val="1"/>
      <w:marLeft w:val="0"/>
      <w:marRight w:val="0"/>
      <w:marTop w:val="0"/>
      <w:marBottom w:val="0"/>
      <w:divBdr>
        <w:top w:val="none" w:sz="0" w:space="0" w:color="auto"/>
        <w:left w:val="none" w:sz="0" w:space="0" w:color="auto"/>
        <w:bottom w:val="none" w:sz="0" w:space="0" w:color="auto"/>
        <w:right w:val="none" w:sz="0" w:space="0" w:color="auto"/>
      </w:divBdr>
    </w:div>
    <w:div w:id="162477746">
      <w:bodyDiv w:val="1"/>
      <w:marLeft w:val="0"/>
      <w:marRight w:val="0"/>
      <w:marTop w:val="0"/>
      <w:marBottom w:val="0"/>
      <w:divBdr>
        <w:top w:val="none" w:sz="0" w:space="0" w:color="auto"/>
        <w:left w:val="none" w:sz="0" w:space="0" w:color="auto"/>
        <w:bottom w:val="none" w:sz="0" w:space="0" w:color="auto"/>
        <w:right w:val="none" w:sz="0" w:space="0" w:color="auto"/>
      </w:divBdr>
    </w:div>
    <w:div w:id="195197656">
      <w:bodyDiv w:val="1"/>
      <w:marLeft w:val="0"/>
      <w:marRight w:val="0"/>
      <w:marTop w:val="0"/>
      <w:marBottom w:val="0"/>
      <w:divBdr>
        <w:top w:val="none" w:sz="0" w:space="0" w:color="auto"/>
        <w:left w:val="none" w:sz="0" w:space="0" w:color="auto"/>
        <w:bottom w:val="none" w:sz="0" w:space="0" w:color="auto"/>
        <w:right w:val="none" w:sz="0" w:space="0" w:color="auto"/>
      </w:divBdr>
    </w:div>
    <w:div w:id="263155893">
      <w:bodyDiv w:val="1"/>
      <w:marLeft w:val="0"/>
      <w:marRight w:val="0"/>
      <w:marTop w:val="0"/>
      <w:marBottom w:val="0"/>
      <w:divBdr>
        <w:top w:val="none" w:sz="0" w:space="0" w:color="auto"/>
        <w:left w:val="none" w:sz="0" w:space="0" w:color="auto"/>
        <w:bottom w:val="none" w:sz="0" w:space="0" w:color="auto"/>
        <w:right w:val="none" w:sz="0" w:space="0" w:color="auto"/>
      </w:divBdr>
    </w:div>
    <w:div w:id="583337980">
      <w:bodyDiv w:val="1"/>
      <w:marLeft w:val="0"/>
      <w:marRight w:val="0"/>
      <w:marTop w:val="0"/>
      <w:marBottom w:val="0"/>
      <w:divBdr>
        <w:top w:val="none" w:sz="0" w:space="0" w:color="auto"/>
        <w:left w:val="none" w:sz="0" w:space="0" w:color="auto"/>
        <w:bottom w:val="none" w:sz="0" w:space="0" w:color="auto"/>
        <w:right w:val="none" w:sz="0" w:space="0" w:color="auto"/>
      </w:divBdr>
    </w:div>
    <w:div w:id="824857591">
      <w:bodyDiv w:val="1"/>
      <w:marLeft w:val="0"/>
      <w:marRight w:val="0"/>
      <w:marTop w:val="0"/>
      <w:marBottom w:val="0"/>
      <w:divBdr>
        <w:top w:val="none" w:sz="0" w:space="0" w:color="auto"/>
        <w:left w:val="none" w:sz="0" w:space="0" w:color="auto"/>
        <w:bottom w:val="none" w:sz="0" w:space="0" w:color="auto"/>
        <w:right w:val="none" w:sz="0" w:space="0" w:color="auto"/>
      </w:divBdr>
    </w:div>
    <w:div w:id="897864022">
      <w:bodyDiv w:val="1"/>
      <w:marLeft w:val="0"/>
      <w:marRight w:val="0"/>
      <w:marTop w:val="0"/>
      <w:marBottom w:val="0"/>
      <w:divBdr>
        <w:top w:val="none" w:sz="0" w:space="0" w:color="auto"/>
        <w:left w:val="none" w:sz="0" w:space="0" w:color="auto"/>
        <w:bottom w:val="none" w:sz="0" w:space="0" w:color="auto"/>
        <w:right w:val="none" w:sz="0" w:space="0" w:color="auto"/>
      </w:divBdr>
    </w:div>
    <w:div w:id="924070546">
      <w:bodyDiv w:val="1"/>
      <w:marLeft w:val="0"/>
      <w:marRight w:val="0"/>
      <w:marTop w:val="0"/>
      <w:marBottom w:val="0"/>
      <w:divBdr>
        <w:top w:val="none" w:sz="0" w:space="0" w:color="auto"/>
        <w:left w:val="none" w:sz="0" w:space="0" w:color="auto"/>
        <w:bottom w:val="none" w:sz="0" w:space="0" w:color="auto"/>
        <w:right w:val="none" w:sz="0" w:space="0" w:color="auto"/>
      </w:divBdr>
    </w:div>
    <w:div w:id="1118181602">
      <w:bodyDiv w:val="1"/>
      <w:marLeft w:val="0"/>
      <w:marRight w:val="0"/>
      <w:marTop w:val="0"/>
      <w:marBottom w:val="0"/>
      <w:divBdr>
        <w:top w:val="none" w:sz="0" w:space="0" w:color="auto"/>
        <w:left w:val="none" w:sz="0" w:space="0" w:color="auto"/>
        <w:bottom w:val="none" w:sz="0" w:space="0" w:color="auto"/>
        <w:right w:val="none" w:sz="0" w:space="0" w:color="auto"/>
      </w:divBdr>
    </w:div>
    <w:div w:id="1171408474">
      <w:bodyDiv w:val="1"/>
      <w:marLeft w:val="0"/>
      <w:marRight w:val="0"/>
      <w:marTop w:val="0"/>
      <w:marBottom w:val="0"/>
      <w:divBdr>
        <w:top w:val="none" w:sz="0" w:space="0" w:color="auto"/>
        <w:left w:val="none" w:sz="0" w:space="0" w:color="auto"/>
        <w:bottom w:val="none" w:sz="0" w:space="0" w:color="auto"/>
        <w:right w:val="none" w:sz="0" w:space="0" w:color="auto"/>
      </w:divBdr>
    </w:div>
    <w:div w:id="1427380139">
      <w:bodyDiv w:val="1"/>
      <w:marLeft w:val="0"/>
      <w:marRight w:val="0"/>
      <w:marTop w:val="0"/>
      <w:marBottom w:val="0"/>
      <w:divBdr>
        <w:top w:val="none" w:sz="0" w:space="0" w:color="auto"/>
        <w:left w:val="none" w:sz="0" w:space="0" w:color="auto"/>
        <w:bottom w:val="none" w:sz="0" w:space="0" w:color="auto"/>
        <w:right w:val="none" w:sz="0" w:space="0" w:color="auto"/>
      </w:divBdr>
    </w:div>
    <w:div w:id="1562136103">
      <w:bodyDiv w:val="1"/>
      <w:marLeft w:val="0"/>
      <w:marRight w:val="0"/>
      <w:marTop w:val="0"/>
      <w:marBottom w:val="0"/>
      <w:divBdr>
        <w:top w:val="none" w:sz="0" w:space="0" w:color="auto"/>
        <w:left w:val="none" w:sz="0" w:space="0" w:color="auto"/>
        <w:bottom w:val="none" w:sz="0" w:space="0" w:color="auto"/>
        <w:right w:val="none" w:sz="0" w:space="0" w:color="auto"/>
      </w:divBdr>
    </w:div>
    <w:div w:id="1695499415">
      <w:bodyDiv w:val="1"/>
      <w:marLeft w:val="0"/>
      <w:marRight w:val="0"/>
      <w:marTop w:val="0"/>
      <w:marBottom w:val="0"/>
      <w:divBdr>
        <w:top w:val="none" w:sz="0" w:space="0" w:color="auto"/>
        <w:left w:val="none" w:sz="0" w:space="0" w:color="auto"/>
        <w:bottom w:val="none" w:sz="0" w:space="0" w:color="auto"/>
        <w:right w:val="none" w:sz="0" w:space="0" w:color="auto"/>
      </w:divBdr>
    </w:div>
    <w:div w:id="1737044008">
      <w:bodyDiv w:val="1"/>
      <w:marLeft w:val="0"/>
      <w:marRight w:val="0"/>
      <w:marTop w:val="0"/>
      <w:marBottom w:val="0"/>
      <w:divBdr>
        <w:top w:val="none" w:sz="0" w:space="0" w:color="auto"/>
        <w:left w:val="none" w:sz="0" w:space="0" w:color="auto"/>
        <w:bottom w:val="none" w:sz="0" w:space="0" w:color="auto"/>
        <w:right w:val="none" w:sz="0" w:space="0" w:color="auto"/>
      </w:divBdr>
    </w:div>
    <w:div w:id="198751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B733FFDF69BC4381C188423E88DD8F" ma:contentTypeVersion="0" ma:contentTypeDescription="Create a new document." ma:contentTypeScope="" ma:versionID="7a7127446bc422bfe4cfadf708d34a5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4022C-2AB4-4FFA-800F-6D059D05DDBD}">
  <ds:schemaRefs>
    <ds:schemaRef ds:uri="http://schemas.microsoft.com/office/2006/metadata/longProperties"/>
  </ds:schemaRefs>
</ds:datastoreItem>
</file>

<file path=customXml/itemProps2.xml><?xml version="1.0" encoding="utf-8"?>
<ds:datastoreItem xmlns:ds="http://schemas.openxmlformats.org/officeDocument/2006/customXml" ds:itemID="{670AFD14-4495-451C-805F-10DA89131E45}">
  <ds:schemaRefs>
    <ds:schemaRef ds:uri="http://schemas.microsoft.com/sharepoint/v3/contenttype/forms"/>
  </ds:schemaRefs>
</ds:datastoreItem>
</file>

<file path=customXml/itemProps3.xml><?xml version="1.0" encoding="utf-8"?>
<ds:datastoreItem xmlns:ds="http://schemas.openxmlformats.org/officeDocument/2006/customXml" ds:itemID="{D21D65A7-1DF5-4C1C-BCE5-C0AB1E3AFB64}">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D03E807-F761-4DD3-A74F-7FEDDFF7C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6C71866-0FA7-479B-9478-985F8A21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1259</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Exhibit C-1 - State Adaptation Costs</vt:lpstr>
    </vt:vector>
  </TitlesOfParts>
  <Company>EDS</Company>
  <LinksUpToDate>false</LinksUpToDate>
  <CharactersWithSpaces>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C-1 - State Adaptation Costs</dc:title>
  <dc:subject>Fees</dc:subject>
  <dc:creator>Mark E. Brugger</dc:creator>
  <dc:description>Final Changes - Shirley signed this version.</dc:description>
  <cp:lastModifiedBy>thanson</cp:lastModifiedBy>
  <cp:revision>2</cp:revision>
  <cp:lastPrinted>2012-11-27T21:43:00Z</cp:lastPrinted>
  <dcterms:created xsi:type="dcterms:W3CDTF">2014-07-17T14:29:00Z</dcterms:created>
  <dcterms:modified xsi:type="dcterms:W3CDTF">2014-07-17T14:29:00Z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0x0101007AB733FFDF69BC4381C188423E88DD8F</vt:lpwstr>
  </property>
</Properties>
</file>